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ATAS/119/2016 vom 16. Februar 2016</w:t>
      </w:r>
    </w:p>
    <w:p>
      <w:r>
        <w:t>GE Cour de justice, 2016-02-16, FR</w:t>
      </w:r>
    </w:p>
    <w:p>
      <w:r>
        <w:rPr>
          <w:b/>
        </w:rPr>
        <w:t xml:space="preserve">Quelle: </w:t>
      </w:r>
      <w:r>
        <w:t>https://mcp.opencaselaw.ch/entscheid/ge_gerichte_ATAS_119_2016</w:t>
      </w:r>
    </w:p>
    <w:p>
      <w:r>
        <w:t>FR: GE_GERICHTE ATAS/119/2016 du 16 février 2016</w:t>
      </w:r>
    </w:p>
    <w:p>
      <w:r>
        <w:t>IT: GE_GERICHTE ATAS/119/2016 del 16 febbraio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A/2916/2014 - 9/15 - assurances sociales, du 6 octobre 2000 (LPGA - RS 830.1) relatives à la loi fédérale sur l’assurance-invalidité du 19 juin 1959 (LAI - RS 831.20). Sa compétence pour juger du cas d’espèce est ainsi établie.</w:t>
      </w:r>
    </w:p>
    <w:p>
      <w:r>
        <w:rPr>
          <w:b/>
        </w:rPr>
        <w:t>E. 2</w:t>
      </w:r>
    </w:p>
    <w:p>
      <w:r>
        <w:t>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b. En l'espèce, la décision litigieuse du 25 août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(art. 56ss et 38 al. 1 LPGA).</w:t>
      </w:r>
    </w:p>
    <w:p>
      <w:r>
        <w:rPr>
          <w:b/>
        </w:rPr>
        <w:t>E. 4</w:t>
      </w:r>
    </w:p>
    <w:p>
      <w:r>
        <w:t>L’objet du litige porte sur la question de savoir si la recourante a droit à des prestations d'invalidité, étant précisé que par décision du 8 juin 1999, entrée en force, le droit à une rente entière a été reconnu du 1er juin au 31 juillet 1995.</w:t>
      </w:r>
    </w:p>
    <w:p>
      <w:r>
        <w:rPr>
          <w:b/>
        </w:rPr>
        <w:t>E. 5</w:t>
      </w:r>
    </w:p>
    <w:p>
      <w:r>
        <w:t>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w:t>
      </w:r>
    </w:p>
    <w:p>
      <w:r>
        <w:t>A/2916/2014 - 10/15 -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w:t>
      </w:r>
    </w:p>
    <w:p>
      <w:r>
        <w:t>A/2916/2014 - 11/15 -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w:t>
      </w:r>
    </w:p>
    <w:p>
      <w:r>
        <w:t>A/2916/2014 - 12/15 -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il convient d'examiner si la situation de la recourante a subi un changement important propre à influencer son degré d'invalidité, et donc son droit à des prestations.</w:t>
      </w:r>
    </w:p>
    <w:p>
      <w:r>
        <w:rPr>
          <w:b/>
        </w:rPr>
        <w:t>E. 11</w:t>
      </w:r>
    </w:p>
    <w:p>
      <w:r>
        <w:t>a. Dans le cadre de sa première décision d'octroi de rente d'invalidité limitée du 1er juin au 31 juillet 1995, l'intimé a retenu qu'en raison des atteintes lombaires, la recourante présentait une incapacité de travail totale entre avril 1993 et mai 1995, date à partir de laquelle sa capacité de travail était entière dans une activité adaptée. b. Suite à la nouvelle demande de prestations déposée par la recourante le 17 juillet 2012, l'intimé a considéré, dans sa décision litigieuse du 25 août 2014, que sa capacité de travail était entière dans une activité adaptée dès juin 2012. L'intimé s'est basé sur les conclusions du Dr I______, médecin auprès du SMR. Par avis du 25 mars 2014, le Dr I______ a indiqué que suite à l'accident, la recourante avait souffert de contusions au coccyx, lombaire glutéale droite et d’une entorse à l'épaule droite. Il convenait de retenir que l'incapacité de travail était totale depuis le 27 août 2011. L'activité de femme de ménage n'était plus exigible,</w:t>
      </w:r>
    </w:p>
    <w:p>
      <w:r>
        <w:t>A/2916/2014 - 13/15 - mais une activité adaptée aux limitations fonctionnelles l’était à 100% dès juin 2012. c. On relèvera que les seuls diagnostics que retient le Dr I______ dans son avis du 25 mars 2014 émanent d'un rapport non signé établi le 11 janvier 2012, soit plus de deux ans avant la notification de la décision litigieuse. Or, ces diagnostics ne correspondent pas aux atteintes constatées par la suite par les spécialistes ayant examiné la recourante. En effet, le Dr I______ ne mentionne ni la lombosciatalgie L5 à gauche avec un léger déficit moteur sur hernie discale L4-L5 médiane et paramédiane gauche avec conflit radiculaire L5 gauche (rapport du Dr G______ du</w:t>
      </w:r>
    </w:p>
    <w:p>
      <w:r>
        <w:rPr>
          <w:b/>
        </w:rPr>
        <w:t>E. 14</w:t>
      </w:r>
    </w:p>
    <w:p>
      <w:r>
        <w:t>Représenté par un mandataire, la recourante, qui obtient partiellement gain de cause, a droit à une indemnité de CHF 2'000.-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15</w:t>
      </w:r>
    </w:p>
    <w:p>
      <w:r>
        <w:t>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A/2916/2014 - 15/15 -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