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ATAS/119/2014 vom 29. Januar 2014</w:t>
      </w:r>
    </w:p>
    <w:p>
      <w:r>
        <w:t>GE Cour de justice, 2014-01-29, FR</w:t>
      </w:r>
    </w:p>
    <w:p>
      <w:r>
        <w:rPr>
          <w:b/>
        </w:rPr>
        <w:t xml:space="preserve">Quelle: </w:t>
      </w:r>
      <w:r>
        <w:t>https://mcp.opencaselaw.ch/entscheid/ge_gerichte_ATAS_119_2014</w:t>
      </w:r>
    </w:p>
    <w:p>
      <w:r>
        <w:t>FR: GE_GERICHTE ATAS/119/2014 du 29 janvier 2014</w:t>
      </w:r>
    </w:p>
    <w:p>
      <w:r>
        <w:t>IT: GE_GERICHTE ATAS/119/2014 del 29 gennaio 2014</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Interjeté dans le délai et les forme prévus par la loi, le recours est recevable (art. 56 et 60 LPGA ; art 89B de la loi sur la procédure administrative du 12 septembre 1985 – LPA ; E 5 10).</w:t>
      </w:r>
    </w:p>
    <w:p>
      <w:r>
        <w:rPr>
          <w:b/>
        </w:rPr>
        <w:t>E. 3</w:t>
      </w:r>
    </w:p>
    <w:p>
      <w:r>
        <w:t>La Chambre de céans doit se prononcer préalablement sur la demande de restitution de l’effet suspensif.</w:t>
      </w:r>
    </w:p>
    <w:p>
      <w:r>
        <w:rPr>
          <w:b/>
        </w:rPr>
        <w:t>E. 4</w:t>
      </w:r>
    </w:p>
    <w:p>
      <w:r>
        <w:t>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b) Selon l'art. 11 al. 2 de l’ordonnance du 11 septembre 2002 sur la partie générale du droit des assurances sociales (OPGA – RS 830.11),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w:t>
      </w:r>
    </w:p>
    <w:p>
      <w:r>
        <w:t>A/11/2014 - 7/8 -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5</w:t>
      </w:r>
    </w:p>
    <w:p>
      <w:r>
        <w:t>En l’espèce, la recourante invoque en substance l’avis du Professeur D___________ qui soutient que l’origine des troubles semble être plus probablement l’accident qu’une dégénérescence, vu l’âge de l’assurée, alors que l’intimée se réfère quant à elle aux avis concordants des Drs B____________ et E___________, qui soutiennent la thèse contraire. Ces derniers médecins argumentent leur position en énumérant les raisons qui les ont conduits à de telles conclusions. Force est de constater qu’à ce stade de la procédure, l’on ne saurait admettre que la recourante obtiendra sans nul doute gain de cause. Partant, ses chances de succès quant à l’issue du litige au fond ne sont pas telles qu’elles doivent justifier la restitution de l’effet suspensif. De surcroît, dans l’hypothèse où la recourante n’obtiendrait pas gain de cause au fond et devrait alors restituer les prestations indûment versées, le risque est grand pour l’intimée de ne pouvoir recouvrer sa créance. Au vu de ce qui précède, la demande de restitution de l’effet suspensif est rejetée. Pour le surplus, la procédure est gratuite (art. 61 let. g LPGA ; art. 89H LPA).</w:t>
      </w:r>
    </w:p>
    <w:p>
      <w:r>
        <w:t>A/11/2014 - 8/8 -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