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ATAS/119/2012 vom 15. Februar 2012</w:t>
      </w:r>
    </w:p>
    <w:p>
      <w:r>
        <w:t>GE Cour de justice, 2012-02-15, FR</w:t>
      </w:r>
    </w:p>
    <w:p>
      <w:r>
        <w:rPr>
          <w:b/>
        </w:rPr>
        <w:t xml:space="preserve">Quelle: </w:t>
      </w:r>
      <w:r>
        <w:t>https://mcp.opencaselaw.ch/entscheid/ge_gerichte_ATAS_119_2012</w:t>
      </w:r>
    </w:p>
    <w:p>
      <w:r>
        <w:t>FR: GE_GERICHTE ATAS/119/2012 du 15 février 2012</w:t>
      </w:r>
    </w:p>
    <w:p>
      <w:r>
        <w:t>IT: GE_GERICHTE ATAS/119/2012 del 15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t>A/2253/2011 - 8/21 -</w:t>
      </w:r>
    </w:p>
    <w:p>
      <w:r>
        <w:rPr>
          <w:b/>
        </w:rPr>
        <w:t>E. 3</w:t>
      </w:r>
    </w:p>
    <w:p>
      <w:r>
        <w:t>Le délai de recours est de 30 jours (art. 60 al. 1 LPGA). Interjeté dans la forme et le délai prévus par la loi, le recours est recevable, en vertu des art. 56ss LPGA.</w:t>
      </w:r>
    </w:p>
    <w:p>
      <w:r>
        <w:rPr>
          <w:b/>
        </w:rPr>
        <w:t>E. 4</w:t>
      </w:r>
    </w:p>
    <w:p>
      <w:r>
        <w:t>A titre liminaire, il sied toutefois de déterminer l’objet du litige.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w:t>
      </w:r>
    </w:p>
    <w:p>
      <w:r>
        <w:t>En l’espèce, la décision querellée ne concerne que la question des mesures professionnelles, une décision séparée sur le droit à la rente devant être rendue, et le recourant a conclu, dans son écriture du 25 juillet 2011, à l’octroi de telles mesures uniquement. Par conséquent, le présent litige porte exclusivement sur le droit du recourant à l’octroi de mesures d’ordre professionnel.</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w:t>
      </w:r>
    </w:p>
    <w:p>
      <w:r>
        <w:t>A/2253/2011 - 9/21 - (ATFA non publié I 388/06 du 25 avril 2007).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non publié 9C_100/2008 du 4 février 2009 et consid 3.2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6</w:t>
      </w:r>
    </w:p>
    <w:p>
      <w:r>
        <w:t>Se pose donc en premier lieu la question de savoir si l'assuré est invalide ou menacé d'une invalidité imminente. La condition de l'invalidité exprimée par l'art. 8 al. 1 LAI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 On rappellera qu'il n'existe pas un droit inconditionnel à obtenir une mesure professionnelle (voir par ex. l'arrêt non publié 9C_385/2009 du 13 octobre 2009). Il faut également relever que si une perte de gain de 20% environ ouvre en principe droit à une mesure de reclassement dans une nouvelle profession (ATF 124 V 108 consid. 2b p110 et les arrêts cités), la question reste ouverte d'agissant des autre mesures d'ordre professionnel prévues par la loi (cf. arrêt non publié 9C_464/2009 du 31 mai 2010).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w:t>
      </w:r>
    </w:p>
    <w:p>
      <w:r>
        <w:t>A/2253/2011 - 10/21 -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w:t>
      </w:r>
    </w:p>
    <w:p>
      <w:r>
        <w:t>A/2253/2011 - 11/21 -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w:t>
      </w:r>
    </w:p>
    <w:p>
      <w:r>
        <w:t>A/2253/2011 - 12/21 -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w:t>
      </w:r>
    </w:p>
    <w:p>
      <w:r>
        <w:rPr>
          <w:b/>
        </w:rPr>
        <w:t>E. 8</w:t>
      </w:r>
    </w:p>
    <w:p>
      <w:r>
        <w:t>En l’espèce, la Cour de céans constate, à titre liminaire, que tous les médecins s’accordent sur le fait que depuis le 1er octobre 2009 le recourant n’est plus capable d’exercer son activité de manœuvre sur un chantier. Demeure litigieuse la question de la capacité de travail dans une activité adaptée, qui a fait l’objet du rapport du Dr D___________. Il convient donc de déterminer si le rapport du Dr D___________ - établi le 17 février 2011 et confirmé dans une appréciation ultérieure du 23 février 2011 - sur lequel l’OAI s’est essentiellement fondé pour calculer le degré d’invalidité, dispose d’une pleine valeur probante, ce qui est contesté par le recourant. Ce dernier reproche au Dr D___________ de ne pas avoir ordonné l’arthro-CT mentionné par les médecins de la CRR et de ce fait, de ne pas être en mesure de se prononcer définitivement et avec exactitude sur son état de santé. De plus, il conteste l’augmentation de la symptomatologie et l’autolimitation qui lui sont reprochés par le médecin d’arrondissement de la SUVA. Enfin, le recourant reproche à l’intimé de ne pas avoir tenu compte des constatations de son médecin traitant. Force est de constater que le rapport du Dr D___________ fait l’objet d’une étude circonstanciée des points litigieux. Il se fonde sur des examens complets et prend en considération les plaintes exprimées par le recourant. Il est établi en pleine connaissance de l’anamnèse et les descriptions du contexte médical et l’appréciation de la situation médicale sont claires. Les conclusions sont en outre dûment motivées. Le Dr D___________ explique clairement les motifs pour lesquels il a considéré que l’assuré augmentait la symptomatologie, problématique qui avait au demeurant déjà été relevée lors du séjour à la CRR. La Cour de céans considère que cette expertise est convaincante et qu’elle répond à tous les réquisits pour lui voir attribuer une pleine valeur probante. Par ailleurs, la Cour de céans constate qu’hormis le fait que le Dr D___________ n’ait pas ordonné d’arthro-CT, le recourant ne formule aucune autre critique à l’encontre de ce rapport. Il ne fournit également aucun document émanant de son médecin traitant, exposant les raisons pour lesquelles l’appréciation du Dr D___________ ne serait médicalement pas justifiée en l’absence d’une arthro-CT. Bien plus, alors que la SUVA s’est également fondée sur ce rapport pour mettre un terme au versement des indemnités journalières et pour lui refuser une rente</w:t>
      </w:r>
    </w:p>
    <w:p>
      <w:r>
        <w:t>A/2253/2011 - 13/21 - d’invalidité, le recourant n’a pas contesté sa décision sur opposition du 22 juillet 2011, qui est désormais entrée en force. Quant aux rapports du Dr B___________, ils ne permettent pas de remettre en question la valeur probante de l’appréciation du Dr D___________. Bien plus, ils concordent en partie avec sa position. En effet, le Dr B___________ a, à plusieurs reprises, suggéré un reclassement professionnel, ce qui signifie qu’il estimait que le recourant pouvait travailler dans une activité adaptée. C’est donc à juste titre que l’intimé a considéré que le rapport du Dr D___________ disposait d’une pleine valeur probante et que le recourant dispose d’une pleine capacité de travail dans une activité adaptée dès le 1er février 2011.</w:t>
      </w:r>
    </w:p>
    <w:p>
      <w:r>
        <w:rPr>
          <w:b/>
        </w:rPr>
        <w:t>E. 9</w:t>
      </w:r>
    </w:p>
    <w:p>
      <w:r>
        <w:t>Selon l’art. 10 al. 2 LAI, nouvelle teneur dès le 1er janvier 2008 (5ème révision AI), le droit aux mesures d’ordre professionnel prend naissance dès qu’elles sont indiquées en raison de l’âge et de l’état de santé de l’assuré. En l’occurrence, il s’agit du moment où le recourant est à nouveau apte à travailler dans une activité adaptée, soit en février 2011. Il s’agit de déterminer en l’occurrence quelle mesure d’ordre professionnel entre en ligne de compte.</w:t>
      </w:r>
    </w:p>
    <w:p>
      <w:r>
        <w:rPr>
          <w:b/>
        </w:rPr>
        <w:t>E. 10</w:t>
      </w:r>
    </w:p>
    <w:p>
      <w:r>
        <w:t>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environ ouvre en principe droit à une mesure de reclassement dans une nouvelle profession (ATF 124 V 108 consid. 2b p110 et les arrêts cités). Il convient ainsi d’examiner si le recourant subit une perte de gain de 20 % environ et, par conséquent, son degré d’invalidité, en procédant à une comparaison des revenus. Celle-ci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104 V 135 consid. 2a et 2b).</w:t>
      </w:r>
    </w:p>
    <w:p>
      <w:r>
        <w:rPr>
          <w:b/>
        </w:rPr>
        <w:t>E. 11</w:t>
      </w:r>
    </w:p>
    <w:p>
      <w:r>
        <w:t>a) Pour fixer le revenu sans invalidité, il faut établir ce que l'assuré aurait, au degré de la vraisemblance prépondérante, réellement pu obtenir au moment déterminant s'il n'était pas invalide (RAMA 2000 n°U 400 p. 381, consid. 2a). Ce revenu doit</w:t>
      </w:r>
    </w:p>
    <w:p>
      <w:r>
        <w:t>A/2253/2011 - 14/21 - être évalué de manière aussi concrète que possible si bien qu’il convient, en règle générale, de se référer au dernier salaire que l’assuré a obtenu avant l’atteinte à sa santé, en tenant compte de l’évolution des salaires (ATF 129 V 222, consid. 4.3.1). 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et, pour tenir compte des circonstances, l’on procédera à un 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Arrêt non publié 8C_337/2009 du 18 février 2010, consid. 7.5). En cas d’absence de désignation des activités compatibles avec les limitations du recourant, le Tribunal fédéral a jugé qu'il eût été certainement judicieux que l'office AI donnât à l’assuré,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de l’assuré et accessibles sans aucune formation particulière (arrêt non publié 9C_279/2008 du 16 décembre 2008, consid. 4).</w:t>
      </w:r>
    </w:p>
    <w:p>
      <w:r>
        <w:t>A/2253/2011 - 15/21 - Enfin,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12</w:t>
      </w:r>
    </w:p>
    <w:p>
      <w:r>
        <w:t>a) En l’espèce, s’agissant du revenu sans invalidité, il ressort du questionnaire de la SUVA rempli par l’employeur le 20 janvier 2011, que le salaire du recourant aurait été composé de la manière suivante en 2011 : 25.60 fr. par heure x 42.5 heures par semaine + 10,60% d’indemnités de vacances + 3,5% pour les jours fériés + 8.33% de 13e salaire soit un salaire annuel de 62'605 fr. 81 (25.60 fr x 42,5h x 47 semaines, le recourant bénéficiant de 5 semaines de vacances, soit 51'136 fr, + 5'420 fr. 42 d’indemnité pour vacances + 1'789 fr. 76 d’indemnité pour jours fériés + 4'259 fr. 63 en tant que 13e salaire). b) Le recourant n’a pas repris son activité après l’accident du 1er octobre 2009 de sorte que le revenu d'invalide doit être évalué sur la base des données statistiques résultant des Enquêtes sur la structure des salaires (ESS), publiées tous les deux ans par l'Office fédéral de la statistique. Selon les données statistiques, le revenu mensuel en 2008, pour un homme exerçant une activité simple et répétitive (niveau 4) était de 4’806 fr. soit un montant annuel de 57’672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que recouvrent les secteurs de la production et des services, on doit également convenir qu'un nombre significatif de ces activités sont adaptées au handicap du recourant. Les salaires bruts standardisés sont calculés sur la base d'un horaire de travail de 40 heures, soit d'une durée hebdomadaire inférieure à la moyenne dans les entreprises en 2008 (41.6 heures: La Vie économique, 4/2010, tableau B 9.2 p. 90). Il convient ainsi d'adapter le salaire mensuel. En appliquant l'adaptation nécessaire (indice moyen sur les trois premiers trimestres de 2011), le salaire mensuel brut s'élève à 4’998 fr. 24 soit un salaire annuel brut de 59’978 fr. 88. Indexé selon l’ISS applicable en 2011, le salaire mensuel du recourant se serait élevé à 5'216 fr. soit 62'592 fr. par an. L'intimé a procédé à un abattement de 10% en raison des limitations fonctionnelles. La Cour de céans n’a à cet égard aucun motif ni aucun élément lui permettant de s’écarter de cette appréciation, qui n’est au demeurant pas contestée par le recourant.</w:t>
      </w:r>
    </w:p>
    <w:p>
      <w:r>
        <w:t>A/2253/2011 - 16/21 - Après indexation et abattement, le salaire d'invalide s'élève à 56'332 fr. 80. Par conséquent, le degré d’invalidité du recourant est de 10 %, arrondi au nombre entier le plus proche ([62'605.81 – 56'332.80] : 62'605.81 x 100 = 10.02 %).</w:t>
      </w:r>
    </w:p>
    <w:p>
      <w:r>
        <w:t>Force est de constater que le recourant ne peut prétendre à une mesure de reclassement, son taux d’invalidité étant inférieur aux 20 % requis. Reste à examiner s’il peut prétendre d’autres mesures professionnelles.</w:t>
      </w:r>
    </w:p>
    <w:p>
      <w:r>
        <w:rPr>
          <w:b/>
        </w:rPr>
        <w:t>E. 13</w:t>
      </w:r>
    </w:p>
    <w:p>
      <w:r>
        <w:t>a) Selon l'article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non publié 9C_882/2008 du 29 octobre 2009, consid. 5.1 et les références).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(ATF 114 V 29 consid. 1a p. 29; MEYER-BLASER, Zum Verhältnismässigkeitsgrundsatz im staatlichen Leistungsrecht, 1985, p. 82 ss et 123 ss,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w:t>
      </w:r>
    </w:p>
    <w:p>
      <w:r>
        <w:t>A/2253/2011 - 17/21 - novembre 1987 consid. 4a, in RCC 1988 p. 191; voir également MEYER, op. cit., ad art. 15 LAI p. 174). Dans un arrêt non publié du 10 février 2011, le Tribunal fédéral a considéré que c’était à juste titre que l’OAI avait refusé de mettre un assuré, qui n’était plus en mesure d’exercer ses activités antérieures en raison de problèmes au dos, au bénéfice d’une orientation professionnelle. Notre Haute Cour a en effet considéré que compte tenu du caractère relativement anodin de l'atteinte à la santé, les propositions formulées par le service de réadaptation de l'office quant aux types d'activités que l'on pouvait raisonnablement exiger de la part de l’assuré étaient suffisantes pour qu'il puisse s'orienter seul sur le marché du travail. De manière plus générale, dans la mesure où celui-ci offrait un éventail suffisamment large d'activités légères, dont un nombre significatif étaient, à l'évidence, adaptées aux limitations de l’assuré et accessibles sans aucune formation particulière, il n'existait guère d'obstacles pour l’assuré à l'exercice d'un emploi adapté à ses problèmes de santé. Dans ces conditions, l'octroi d'une mesure d'orientation professionnelle financée par l'assurance-invalidité apparaissait superflue (arrêt non publié du Tribunal fédéral du 10 février 2011, 9C_534/2010, consid. 4). b) En l’espèce, l’intimé a considéré que l’invalidité du recourant n’avait pas ou peu d’incidence sur le choix d’une profession, de sorte que l’orientation professionnelle devait être refusée. Les services d’orientation professionnelle de l’assurance- chômage étaient au contraire compétents. Pour sa part, le recourant conteste cette situation, sans donner de plus amples précisions. Force est cependant de constater que c’est à juste titre que l’intimé a refusé cette mesure d’orientation professionnelle. En effet, les limitations retenues (pas de montées et descentes fréquentes d’escalier, pas de travaux en terrain instable et pas d’utilisation d’échelles ou d’escaliers) sont peu importantes. Dès lors, dans la mesure où le marché de l’emploi offre un éventail suffisamment large d'activités légères, dont un nombre significatif sont, à l'évidence, adaptées aux limitations précitées et accessibles sans aucune formation particulière, il n’y a guère d'obstacles pour le recourant à l'exercice d'un emploi adapté à ses problèmes de santé. C’est donc à juste titre que l’intimé a renvoyé le recourant au service d’orientation professionnelle de l’assurance-chômage.</w:t>
      </w:r>
    </w:p>
    <w:p>
      <w:r>
        <w:rPr>
          <w:b/>
        </w:rPr>
        <w:t>E. 14</w:t>
      </w:r>
    </w:p>
    <w:p>
      <w:r>
        <w:t>Reste encore à examiner si le recourant a droit à une aide au placement. a) L'art. 18 al. 1 première phrase LAI, dans sa teneur selon la novelle du 21 mars 2003 ([4ème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w:t>
      </w:r>
    </w:p>
    <w:p>
      <w:r>
        <w:t>A/2253/2011 - 18/21 - le 1er janvier 2008), l'assuré présentant une incapacité de travail et susceptible d'être réadapté a droit: a) à un soutien actif dans la recherche d'un emploi approprié; b) à un conseil suivi afin de conserver un emploi.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Arrêt non publiés I 170/06 et 9C_879/2008 des 26 février 2007 et 21 janvier 2009 et les références).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non publié 9C_28/2009 du 11 mai 2009 consid. 4). c) Selon la jurisprudence développée à propos de l'art. 18 LAI dans sa teneur jusqu'au 31 décembre 2003, l'admission du droit au service de placement est subordonnée aux conditions générales du droit aux prestations de l'AI; elle dépend notamment de l'existence d'une invalidité spécifique par rapport aux prestations entrant en ligne de compte (ATF du 19 août 2005, I 523/04, consid. 3.1). Le Tribunal fédéral a ainsi considéré que cette condition était remplie, pourvu que l'assuré rencontre, dans la recherche d'un emploi, des difficultés même légères en raison de son état de santé (ATF 116 V 80 consid. 6a; VSI 2000 p. 72 consid. 1a).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s.). Lorsque la capacité de travail est limitée uniquement du fait que seules des activités légères peuvent être exigées de l'assuré, il faut qu'il soit entravé de manière spécifique par l'atteinte à la santé dans la faculté de rechercher un emploi (ATFA non publié I 421/01 du 15 juillet 2002 consid. 2c, in VSI 2003 p. 274) principe dont la jurisprudence a admis qu'il demeurait valable également après l'entrée en vigueur de la 4ème et de la 5ème révision de l'AI (ATFA non publié I 427/05 du 24 mars 2006, in SVR 2006 IV Nr. 45 p. 162 ; Arrêt non publié 9C_416/2009 du 1er mars 2010 consid. 5.2). Au regard de l'art. 18 al. 1 LAI, dont le texte et le sens sont absolument clairs, la mesure d'aide au placement ne permet pas de prévoir une</w:t>
      </w:r>
    </w:p>
    <w:p>
      <w:r>
        <w:t>A/2253/2011 - 19/21 - courte période d'observation professionnelle et d'entraînement au travail (Arrêt non publié 9C_416/2009 du 1er mars 2010 consid. 4.1 et 4.2).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(ATF du 22 septembre 2004, I 54/05,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(ATF du 1er mars 2010, 9C_416/2009, consid. 5.2). d) En l’espèce, force est de constater que les éventuelles difficultés du recourant pour trouver un emploi ne résultent pas du handicap lui-même, celui-ci imposant uniquement des limitations au niveau des déplacements (pas de montées et descentes fréquentes d’escalier, pas de travaux en terrain instable et pas d’utilisation d’échelles ou d’escaliers). Ces limitations peuvent être qualifiées de légères et n'entravent pas le recourant dans sa recherche de travail. Il peut se</w:t>
      </w:r>
    </w:p>
    <w:p>
      <w:r>
        <w:t>A/2253/2011 - 20/21 - déplacer pour participer à des entretiens d'embauche. De plus, bon nombre d’activités n’impliquent pas de déplacements de sorte que le recourant n’a pas à expliquer ses limitations ou à négocier certains aménagements de la place de travail. En réalité, le principal handicap du recourant résulte de ses difficultés à parler français comme il l’a indiqué au Dr D___________. Or, cette question ne relève pas de l’assurance-invalidité de sorte que c’est à bon droit que l’intimé a refusé d’octroyer une aide au placement au recourant qui n’a, au demeurant, jamais formulé de requête motivée dans ce sens.</w:t>
      </w:r>
    </w:p>
    <w:p>
      <w:r>
        <w:rPr>
          <w:b/>
        </w:rPr>
        <w:t>E. 15</w:t>
      </w:r>
    </w:p>
    <w:p>
      <w:r>
        <w:t>Mal fondé, le recours sera rejeté. La procédure n'étant pas gratuite (art. 69 al. 1bis LAI), il y a lieu de condamner le recourant au paiement d'un émolument de 200 fr.</w:t>
      </w:r>
    </w:p>
    <w:p>
      <w:r>
        <w:t>A/2253/2011 - 21/21 -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