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ATAS/119/2011 vom 27. November 2010</w:t>
      </w:r>
    </w:p>
    <w:p>
      <w:r>
        <w:t>GE Cour de justice, 2010-11-27, FR</w:t>
      </w:r>
    </w:p>
    <w:p>
      <w:r>
        <w:rPr>
          <w:b/>
        </w:rPr>
        <w:t xml:space="preserve">Quelle: </w:t>
      </w:r>
      <w:r>
        <w:t>https://mcp.opencaselaw.ch/entscheid/ge_gerichte_ATAS_119_2011</w:t>
      </w:r>
    </w:p>
    <w:p>
      <w:r>
        <w:t>FR: GE_GERICHTE ATAS/119/2011 du 27 novembre 2010</w:t>
      </w:r>
    </w:p>
    <w:p>
      <w:r>
        <w:t>IT: GE_GERICHTE ATAS/119/2011 del 27 novembre 2010</w:t>
      </w:r>
    </w:p>
    <w:p>
      <w:pPr>
        <w:pStyle w:val="Heading2"/>
      </w:pPr>
      <w:r>
        <w:t>Erwägungen</w:t>
      </w:r>
    </w:p>
    <w:p>
      <w:r>
        <w:rPr>
          <w:b/>
        </w:rPr>
        <w:t>E. 1</w:t>
      </w:r>
    </w:p>
    <w:p>
      <w:r>
        <w:t>Conformément à l'art. 56V al. 2 let. c de la loi sur l'organisation judiciaire, du 22 novembre 1941 (LOJ ; RS E 2 05), le Tribunal cantonal des assurances sociales connaissait en instance unique des contestations prévues à l'art. 66 al. 1 de la loi cantonale sur la formation professionnelle, du 15 juin 2007 (LFP ; RS C 2 05) .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 délai et forme prescrits par la loi, le recours est recevable (art. 66 al. 2 LFP et art. 89B de la loi sur la procédure administrative, du 12 septembre 1985 - LPA ; RS E 5 10).</w:t>
      </w:r>
    </w:p>
    <w:p>
      <w:r>
        <w:rPr>
          <w:b/>
        </w:rPr>
        <w:t>E. 3</w:t>
      </w:r>
    </w:p>
    <w:p>
      <w:r>
        <w:t>L'objet du litige est le montant de la taxe professionnelle dû par la recourante pour 2010.</w:t>
      </w:r>
    </w:p>
    <w:p>
      <w:r>
        <w:rPr>
          <w:b/>
        </w:rPr>
        <w:t>E. 4</w:t>
      </w:r>
    </w:p>
    <w:p>
      <w:r>
        <w:t>En vertu de l'art. 62 LFP, les employeurs tenus de s'affilier à une caisse d'allocation familiale et astreints au paiement de contributions, conformément à l'art. 23 al. 1 et 27 de la loi sur les allocations familiales, du 1er mars 1996 (LAF ; RS J 5 10), sont</w:t>
      </w:r>
    </w:p>
    <w:p>
      <w:r>
        <w:t>A/4278/2010 - 3/4 - astreints à cotisation en faveur de la Fondation en faveur de la formation professionnelle et continue. Selon l'art. 63 LFP, la cotisation est fixée chaque année par le Conseil d'Etat par salarié (al. 1). Sont considérées comme personnes salariées toutes les personnes occupées par un employeur au mois de décembre de l'année précédant la fixation de la cotisation par le Conseil d'Etat (al. 2).</w:t>
      </w:r>
    </w:p>
    <w:p>
      <w:r>
        <w:rPr>
          <w:b/>
        </w:rPr>
        <w:t>E. 5</w:t>
      </w:r>
    </w:p>
    <w:p>
      <w:r>
        <w:t>En l'espèce, la recourante ne conteste pas être assujettie à la LFP et que le Conseil d'Etat a fixé en 2009 le montant de la cotisation de la taxe de formation professionnelle pour 2010 à 21 fr. par salarié, comme le fait valoir l'intimée dans sa réponse au recours. Partant, en vertu de l'art. 63 al. 2 LFP, est déterminant pour l'effectif des salariés à prendre en considération celui du mois de décembre 2008. Or, il résulte clairement de l'attestation des salaires 2008 de la recourante, que celle- ci comptait alors dans ses effectifs neuf employés. Ce fait n'est par ailleurs pas contesté par la recourante, celle-ci faisant uniquement valoir qu'elle n'a que sept salariés depuis mars 2010. Cependant, comme relevé ci- dessus, le montant de la taxe de formation professionnelle n'est pas fondé sur l'effectif du personnel en 2010, mais celui de décembre 2008. Cela étant, il appert que l'intimée a correctement calculé la cotisation due pour 2010.</w:t>
      </w:r>
    </w:p>
    <w:p>
      <w:r>
        <w:rPr>
          <w:b/>
        </w:rPr>
        <w:t>E. 6</w:t>
      </w:r>
    </w:p>
    <w:p>
      <w:r>
        <w:t>Au vu de ce qui précède, le recours sera rejeté.</w:t>
      </w:r>
    </w:p>
    <w:p>
      <w:r>
        <w:t>A/4278/2010 - 4/4 - PAR CES MOTIFS, LA CHAMBRE DES ASSURANCES SOCIALES : Statuant A la forme : 1. Déclare le recours recevable. Au fond : 2. Le rejette. 3. Dit que la procédure est gratuite.</w:t>
      </w:r>
    </w:p>
    <w:p>
      <w:r>
        <w:t>La greffière</w:t>
      </w:r>
    </w:p>
    <w:p>
      <w:r>
        <w:t>Maryse BRIAND</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