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ATAS/1199/2014 vom 19. November 2014</w:t>
      </w:r>
    </w:p>
    <w:p>
      <w:r>
        <w:t>GE Cour de justice, 2014-11-19, FR</w:t>
      </w:r>
    </w:p>
    <w:p>
      <w:r>
        <w:rPr>
          <w:b/>
        </w:rPr>
        <w:t xml:space="preserve">Quelle: </w:t>
      </w:r>
      <w:r>
        <w:t>https://mcp.opencaselaw.ch/entscheid/ge_gerichte_ATAS_1199_2014</w:t>
      </w:r>
    </w:p>
    <w:p>
      <w:r>
        <w:t>FR: GE_GERICHTE ATAS/1199/2014 du 19 novembre 2014</w:t>
      </w:r>
    </w:p>
    <w:p>
      <w:r>
        <w:t>IT: GE_GERICHTE ATAS/1199/2014 del 19 novembre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des ex-époux acquises entre le 17 septembre 1988 et le 31 octobre 2011.</w:t>
      </w:r>
    </w:p>
    <w:p>
      <w:r>
        <w:rPr>
          <w:b/>
        </w:rPr>
        <w:t>E. 5</w:t>
      </w:r>
    </w:p>
    <w:p>
      <w:r>
        <w:t>Selon les renseignements recueillis, la prestation acquise du 17 septembre 1988 au 31 octobre 2011 par le demandeur est de CHF 207'667.80.- (CHF 219'252.50 – CHF 11'584,70), tandis que celle acquise par la demanderesse est de CHF 48'100.35. Ainsi le demandeur doit à son ex-épouse le montant de CHF 103'833.90 (CHF 207'667.80 : 2) et celle-ci lui doit la somme de CHF 24'050.18 (CHF 48'100.35 : 2), de sorte que c’est le demandeur qui doit à son ex-épouse le montant de CHF 79'783.73.</w:t>
      </w:r>
    </w:p>
    <w:p>
      <w:r>
        <w:t>A/255/2014 4/4</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