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ATAS/1199/2011 vom 5. Dezember 2011</w:t>
      </w:r>
    </w:p>
    <w:p>
      <w:r>
        <w:t>GE Cour de justice, 2011-12-05, FR</w:t>
      </w:r>
    </w:p>
    <w:p>
      <w:r>
        <w:rPr>
          <w:b/>
        </w:rPr>
        <w:t xml:space="preserve">Quelle: </w:t>
      </w:r>
      <w:r>
        <w:t>https://mcp.opencaselaw.ch/entscheid/ge_gerichte_ATAS_1199_2011</w:t>
      </w:r>
    </w:p>
    <w:p>
      <w:r>
        <w:t>FR: GE_GERICHTE ATAS/1199/2011 du 5 décembre 2011</w:t>
      </w:r>
    </w:p>
    <w:p>
      <w:r>
        <w:t>IT: GE_GERICHTE ATAS/1199/2011 del 5 dicembre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w:t>
      </w:r>
    </w:p>
    <w:p>
      <w:r>
        <w:rPr>
          <w:b/>
        </w:rPr>
        <w:t>E. 2</w:t>
      </w:r>
    </w:p>
    <w:p>
      <w:r>
        <w:t>Les dispositions de la LPGA, entrée en vigueur le 1er janvier 2003, sont applicables à l’AI, à moins que la LAI n’y déroge expressément (cf. art. 1 al. 1 LAI).</w:t>
      </w:r>
    </w:p>
    <w:p>
      <w:r>
        <w:rPr>
          <w:b/>
        </w:rPr>
        <w:t>E. 3</w:t>
      </w:r>
    </w:p>
    <w:p>
      <w:r>
        <w:t>Selon l’art. 52 al. 1 LPGA, les décisions peuvent être attaquées dans les trente jours par voie d’opposition auprès de l’assureur qui les a rendues, à l’exception des</w:t>
      </w:r>
    </w:p>
    <w:p>
      <w:r>
        <w:t>A/3796/2011 - 5/8 - décisions d’ordonnancement de la procédure. Il s'agit de décisions incidentes que le législateur a soustraites à la procédure d'opposition, afin d'éviter des retards excessifs dans le déroulement de la procédure (Ueli KIESER, ATSG- Kommentar, 2003, note 18 ad art. 52; FF 1999 4261). Par ailleurs, en dérogation aux art. 52 et 58 LPGA, les décisions des offices AI peuvent directement faire l’objet d’un recours devant le tribunal des assurances du domicile de l’office concerné (cf. art. 69 al. 1 let. a LAI). En l’occurrence, le recours interjeté à l’encontre de la décision incidente de l’intimé respecte les conditions de forme et de délai prévus par la loi, de sorte qu’il est recevable (art. 56 et 60 LPGA).</w:t>
      </w:r>
    </w:p>
    <w:p>
      <w:r>
        <w:rPr>
          <w:b/>
        </w:rPr>
        <w:t>E. 4</w:t>
      </w:r>
    </w:p>
    <w:p>
      <w:r>
        <w:t>Le litige consiste à déterminer si l’intimé a rejeté, à bon droit, la demande de récusation déposée par le recourant à l’encontre de l’expert désigné, la Dresse O___________. Préalablement, la Cour de céans doit se prononcer sur la requête du recourant tendant à la restitution de l’effet suspensif au recours.</w:t>
      </w:r>
    </w:p>
    <w:p>
      <w:r>
        <w:rPr>
          <w:b/>
        </w:rPr>
        <w:t>E. 5</w:t>
      </w:r>
    </w:p>
    <w:p>
      <w:r>
        <w:t>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[arrêt P.-S. du 24 février 2004 I 46/04]), la caisse de compensation peut, dans sa décision, prévoir qu'un recours éventuel n'aura pas d'effet suspensif, même si la décision porte sur une prestation pécuniaire; au surplus, l'art. 55 al. 2 à 4 PA est applicable. Selon l'art. 11 al. 2 de l’ordonnance sur la partie générale du droit des assurances sociales, du 11 septembre 2002 (OPGA ; RS 830.11), l'assureur peut, sur requête ou d'office, retirer l'effet suspensif ou rétablir l'effet suspensif retiré dans la décision. Une telle requête doit être traitée sans délai. L'art. 55 al. 3 PA prévoit que l'autorité</w:t>
      </w:r>
    </w:p>
    <w:p>
      <w:r>
        <w:t>A/3796/2011 - 6/8 -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La mesure doit être justifiée par un intérêt privé ou public prépondérant. Ces principes s'appliquaient également dans le cadre de l'art. 97 al. 2 LAVS (teneur en vigueur jusqu'au 31 décembre 2002; ATF 110 V 46), applicable par analogie à l'assurance- invalidité en vertu de l'art. 81 LAI (abrogé par la LPGA).</w:t>
      </w:r>
    </w:p>
    <w:p>
      <w:r>
        <w:rPr>
          <w:b/>
        </w:rPr>
        <w:t>E. 6</w:t>
      </w:r>
    </w:p>
    <w:p>
      <w:r>
        <w:t>En l’espèce, l’intimé soutient que la requête visant au rétablissement de l’effet suspensif est sans objet, dès lors que le recours sur le fond est manifestement mal fondé. Tel n’est pas l’avis de la Cour de céans. Au stade actuel de la procédure, l’on ne saurait conclure que les griefs soulevés par le recourant à l’encontre de l’expert mandaté par l’intimé sont manifestement mal fondés. De même, l’on ne peut considérer, sans plus ample examen, que les prévisions quant à l’issue du litige ne font aucun doute. Il convient au contraire d’examiner soigneusement si les reproches soulevés par le recourant font naître suffisamment de doutes quant à l’impartialité de l’expert, justifiant sa récusation. Au demeurant, l’on ne voit pas pour quel motif l’intimé a retiré l’effet suspensif au recours, s’agissant d’une décision sur récusation ; en effet, il n’invoque aucun intérêt privé ou public prépondérant justifiant une telle mesure et la Cour de céans relève de surcroît qu’une telle décision est séparément susceptible de recours, dès lors qu’elle est susceptible de causer un préjudice irréparable. En procédant de la sorte, l’intimé a anticipé sur le jugement définitif, rendant ainsi d’emblée illusoire le procès au fond (ATF 119 V 506 consid. 3 et les références citées).</w:t>
      </w:r>
    </w:p>
    <w:p>
      <w:r>
        <w:t>A/3796/2011 - 7/8 - Par conséquent, la requête du recourant est admise et l’effet suspensif est restitué.</w:t>
      </w:r>
    </w:p>
    <w:p>
      <w:r>
        <w:rPr>
          <w:b/>
        </w:rPr>
        <w:t>E. 7</w:t>
      </w:r>
    </w:p>
    <w:p>
      <w:r>
        <w:t>Le recourant a droit à une indemnité à titre de participation à ses frais et dépens, fixée en l’espèce à 1'000 fr. (art. 89H al. 3 de la loi sur la procédure administrative, du 12 septembre 1985 - LPA ; RS E 5 10)</w:t>
      </w:r>
    </w:p>
    <w:p>
      <w:r>
        <w:t>A/3796/2011 - 8/8 -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