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ATAS/1198/2019 vom 20. Dezember 2019</w:t>
      </w:r>
    </w:p>
    <w:p>
      <w:r>
        <w:t>GE Cour de justice, 2019-12-20, FR</w:t>
      </w:r>
    </w:p>
    <w:p>
      <w:r>
        <w:rPr>
          <w:b/>
        </w:rPr>
        <w:t xml:space="preserve">Quelle: </w:t>
      </w:r>
      <w:r>
        <w:t>https://mcp.opencaselaw.ch/entscheid/ge_gerichte_ATAS_1198_2019</w:t>
      </w:r>
    </w:p>
    <w:p>
      <w:r>
        <w:t>FR: GE_GERICHTE ATAS/1198/2019 du 20 décembre 2019</w:t>
      </w:r>
    </w:p>
    <w:p>
      <w:r>
        <w:t>IT: GE_GERICHTE ATAS/1198/2019 del 20 dicembre 2019</w:t>
      </w:r>
    </w:p>
    <w:p>
      <w:pPr>
        <w:pStyle w:val="Heading2"/>
      </w:pPr>
      <w:r>
        <w:t>Erwägungen</w:t>
      </w:r>
    </w:p>
    <w:p>
      <w:r>
        <w:rPr>
          <w:b/>
        </w:rPr>
        <w:t>E. 32</w:t>
      </w:r>
    </w:p>
    <w:p>
      <w:r>
        <w:t>jours. Le salaire annuel prévu par le contrat étant de CHF 78'000.-, l’indemnité journalière s’élève à 80 % de ce montant, divisé par 365, soit 62'400 : 365 = 170.96. La somme due à la demanderesse est dès lors de CHF 170.96 x 32 = CHF 5’470.70. 13. La demanderesse réclame enfin des intérêts moratoires de 5 % dès le 1er juillet 2016. a. Les conséquences de l'exigibilité des prestations se déterminent d'après le droit des obligations, par renvoi de l'art. 100 LCA (Olivier CARRE,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L’interpellation doit décrire la prestation à effectuer de manière suffisamment précise pour que le débiteur puisse reconnaître ce que le créancier exige. Si la prestation est pécuniaire, le montant doit en principe être chiffré (ATF 129 III 535 consid. 3.2.2). À défaut d’une telle interpellation, l’intérêt moratoire n’est dû, en cas d'ouverture d'une action en justice, que dès le lendemain du jour où la demande en justice a été notifiée au débiteur (arrêt du Tribunal fédéral 5C.177/2005 du 25 février 2006 consid. 6.1). Le taux de l’intérêt moratoire s’élève</w:t>
      </w:r>
    </w:p>
    <w:p>
      <w:r>
        <w:t>A/3484/2018 - 25/26 - à 5%, conformément à l’art. 104 al. 1 CO. L'intérêt moratoire est fixé à 5% conformément aux art. 102 et 104 CO applicables par renvoi de l’art. 100 LCA. b. En l’espèce, la demanderesse a mis pour la première fois la défenderesse en demeure de prester le 24 décembre 2015. Dès lors qu’en application de la maxime de disposition (art. 58 CPC), la chambre de céans ne peut statuer ultra petita, seule la date du 1er juillet 2016 pourra être retenue. La demanderesse a dès lors droit à des intérêts moratoires de 5 % sur la somme de CHF 5’470.70 dès le 1er juillet 2016. 14. Au vu de ce qui précède, la demande est partiellement admise. a.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b. La demanderesse, représentée par un conseil, obtenant partiellement gain de cause, la défenderesse est condamnée à lui verser une indemnité de CHF 1'360.- à titre de dépens, TVA et débours inclus (art. 106 al. 1 CPC ; art. 20 à 26 de la loi d'application du code civil suisse et d’autres lois fédérales en matière civile du 11 octobre 2012 [LaCC - E 1 05] ; art. 84 et 85 du RTFMC). Pour le surplus, la procédure est gratuite (art. 114 let. e CPC).</w:t>
      </w:r>
    </w:p>
    <w:p>
      <w:r>
        <w:t>A/3484/2018 - 26/26 - PAR CES MOTIFS, LA CHAMBRE DES ASSURANCES SOCIALES : Statuant À la forme : 1. Déclare la demande recevable. Au fond : 2. L’admet partiellement. 3. Condamner la défenderesse à verser à la demanderesse la somme de CHF 5’470.70 avec intérêts à 5 % dès le 1er juillet 2016. 4. Condamne la défenderesse à verser à la demanderesse une indemnité de CHF 1'360.- à titre de dépens. 5. Dit que la procédure est gratuite.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Nathalie LOCHER</w:t>
      </w:r>
    </w:p>
    <w:p>
      <w:r>
        <w:t>La présidente</w:t>
      </w:r>
    </w:p>
    <w:p>
      <w:r>
        <w:t>Doris GALEAZZI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