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ATAS/1198/2013 vom 5. Dezember 2013</w:t>
      </w:r>
    </w:p>
    <w:p>
      <w:r>
        <w:t>GE Cour de justice, 2013-12-05, FR</w:t>
      </w:r>
    </w:p>
    <w:p>
      <w:r>
        <w:rPr>
          <w:b/>
        </w:rPr>
        <w:t xml:space="preserve">Quelle: </w:t>
      </w:r>
      <w:r>
        <w:t>https://mcp.opencaselaw.ch/entscheid/ge_gerichte_ATAS_1198_2013</w:t>
      </w:r>
    </w:p>
    <w:p>
      <w:r>
        <w:t>FR: GE_GERICHTE ATAS/1198/2013 du 5 décembre 2013</w:t>
      </w:r>
    </w:p>
    <w:p>
      <w:r>
        <w:t>IT: GE_GERICHTE ATAS/1198/2013 del 5 dicembre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recours est recevable (art. 38 à 41 et 56 à 61 LPGA).</w:t>
      </w:r>
    </w:p>
    <w:p>
      <w:r>
        <w:rPr>
          <w:b/>
        </w:rPr>
        <w:t>E. 4</w:t>
      </w:r>
    </w:p>
    <w:p>
      <w:r>
        <w:t>Le litige porte sur la question du bien-fondé de la suspension de vingt-cinq jours du droit à l’indemnité infligée au recourant suite à son absence à l’entretien de conseil du 21 mai 2013.</w:t>
      </w:r>
    </w:p>
    <w:p>
      <w:r>
        <w:rPr>
          <w:b/>
        </w:rPr>
        <w:t>E. 5</w:t>
      </w:r>
    </w:p>
    <w:p>
      <w:r>
        <w:t>a) Aux termes de l’art. 17 LACI, l’assuré qui fait valoir des prestations d’assurance doit, avec l’assistance de l’office du travail compétent, entreprendre tout ce qu’on peut raisonnablement exiger de lui pour éviter le chômage ou l’abréger (al. 1).</w:t>
      </w:r>
    </w:p>
    <w:p>
      <w:r>
        <w:t>A/2701/2013 - 5/8 - L'assuré est tenu d'accepter tout travail convenable qui lui est proposé. Il a l'obligation, lorsque l'autorité compétente le lui enjoint, de participer notamment aux entretiens de conseil (al. 3 let. b). b) En vertu de l’art. 30 al. 1 let. d LACI, le droit de l’assuré à l’indemnité est suspendu lorsqu’il est établi que celui-ci n’observe pas les prescriptions de contrôles du chômage ou les instructions de l’autorité compétente sans motif valable. c) Selon l’art. 16 al. 1 let. b de l’ordonnance sur l’assurance-chômage obligatoire et l’indemnité en cas d’insolvabilité du 31 août 1983 (ci-après :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a) D’après la jurisprudence,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C 208/06 du 3 août 2007, consid. 3). b) La jurisprudence du Tribunal fédéral (ci-après TF) confirme que la non- observation des prescriptions de contrôle, sans motif excusable, conduit à une suspension du droit à l’indemnité (ATFA du 21 février 2003 cause C 95/02). Le chômeur qui ne se rend pas à un entretien de conseil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(ATFA C 123/04 du 18 juillet 2005 in DTA 2005 p. 273; ATF 8C_157/2009).</w:t>
      </w:r>
    </w:p>
    <w:p>
      <w:r>
        <w:t>A/2701/2013 - 6/8 -</w:t>
      </w:r>
    </w:p>
    <w:p>
      <w:r>
        <w:rPr>
          <w:b/>
        </w:rPr>
        <w:t>E. 7</w:t>
      </w:r>
    </w:p>
    <w:p>
      <w:r>
        <w:t>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est établi que le recourant a été valablement convoqué pour le 21 mai 2013 à 10h30 et qu'il ne s'est pas présenté. Il est cependant également avéré qu’il a prévenu son conseiller à deux reprises de son impossibilité d’assister à ce rendez-vous en raison d’une intervention chirurgicale : une fois par courriel du 17 mai 2013, une autre par téléphone du 20 mai 2013. Il est aussi indiscutable que son conseiller lui a demandé de fournir un certificat médical sous 48 heures par courriel du 21 mai 2013 et que le recourant ne s’est pas exécuté. A cet égard, force est de constater que même la carte de rendez-vous munie du timbre de son médecin ne figure pas à son dossier et qu’il n’est donc pas démontré qu’il l’a bien envoyée, comme il l’affirme. Il n’en demeure pas moins que le recourant a, au cours de la procédure, amené la preuve qu’il subissait bien une intervention le jour du rendez-vous en question et que ses dires à cet égard sont corrects. En effet, outre le certificat de son médecin, le recourant a également produit une facture datée du 27 juin 2013 confirmant les faits. L’intimé soutient que la valeur probante de ces documents serait sujette à caution dans la mesure où ils n’ont été produits que tardivement, raisonnement que ne saurait suivre la Cour de céans dans la mesure où le certificat est corroboré par la facture et où l’authenticité de ces documents ne saurait être remise en question - ce que ne fait d’ailleurs pas l’intimé. Il est donc établi que l’assuré avait une excuse valable à son absence et qu’il a prévenu son conseiller de celle-ci en temps utile. On ne se trouve ainsi pas dans le cas d’un assuré qui oublie son entretien avant de s’en excuser puisque le recourant a – et à deux reprises – annoncé son absence à l’avance à son conseiller. Le maintien de la sanction serait ainsi motivé par le seul fait que le recourant n’a pas produit les documents réclamés dans les délais qui lui ont été impartis par son conseiller, soit 48 heures.</w:t>
      </w:r>
    </w:p>
    <w:p>
      <w:r>
        <w:t>A/2701/2013 - 7/8 - Cependant, aucune disposition, légale ou règlementaire, ni jurisprudence, n’oblige l’assuré à fournir un certificat médical en bonne et due forme et dans un certain délai lorsqu’il n’a pu respecter des prescriptions de contrôle. Tant la loi que la jurisprudence parlent simplement de « motif valable » (art. 30 al. 1 let. d LACI, arrêt du TF du 21 février 2003 en la cause C 95/02). Quant au Bulletin IC A1, il n’évoque l’obligation de présenter un certificat médical que lorsque l’assuré prétend être en incapacité de travail, ce qui n’est pas le cas en l’occurrence. Or, force est de constater, au vu des pièces produites par le recourant, qu’il avait bel et bien un motif valable à faire valoir et qu’on ne saurait déduire de son comportement de l’indifférence ou un manque d’intérêt. Partant, il n’y a pas lieu de maintenir la sanction appliquée par l’intimé. Au vu de ce qui précède, le recours est admis.</w:t>
      </w:r>
    </w:p>
    <w:p>
      <w:r>
        <w:t>A/2701/2013 - 8/8 -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