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ATAS/1198/2011 vom 5. Dezember 2011</w:t>
      </w:r>
    </w:p>
    <w:p>
      <w:r>
        <w:t>GE Cour de justice, 2011-12-05, FR</w:t>
      </w:r>
    </w:p>
    <w:p>
      <w:r>
        <w:rPr>
          <w:b/>
        </w:rPr>
        <w:t xml:space="preserve">Quelle: </w:t>
      </w:r>
      <w:r>
        <w:t>https://mcp.opencaselaw.ch/entscheid/ge_gerichte_ATAS_1198_2011</w:t>
      </w:r>
    </w:p>
    <w:p>
      <w:r>
        <w:t>FR: GE_GERICHTE ATAS/1198/2011 du 5 décembre 2011</w:t>
      </w:r>
    </w:p>
    <w:p>
      <w:r>
        <w:t>IT: GE_GERICHTE ATAS/1198/2011 del 5 dicembre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w:t>
      </w:r>
    </w:p>
    <w:p>
      <w:r>
        <w:t>A/2221/2011 5/6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24 octobre 2003, d’autre part le 23 juin 2011, date à laquelle le jugement de divorce est devenu exécutoire.</w:t>
      </w:r>
    </w:p>
    <w:p>
      <w:r>
        <w:rPr>
          <w:b/>
        </w:rPr>
        <w:t>E. 5</w:t>
      </w:r>
    </w:p>
    <w:p>
      <w:r>
        <w:t>S'agissant des versements en espèces d'une prestation de sortie pendant le mariage, ils n'ont pas à être pris en compte dans le calcul des prestations de sortie à partager (ATF 129 V 251 consid. 2.2 p. 254), sauf si le versement est intervenu sans le consentement écrit du conjoint, en violation de l'art. 5 al. 2 LFLP, loi qui est entrée en vigueur le 1er janvier 1995 (cf. ATF 133 V 205). En l'espèce, la prestation de sortie de 10'456 fr 35 payée au demandeur le 25 avril 2005 par la CAISSE PARITAIRE DE PRÉVOYANCE DE L'INDUSTRIE ET DE LA CONSTRUCTION (CPPIC), comprend certes un avoir de vieillesse accumulé pendant le mariage (1'307 fr. 20), pour la période du 24 octobre 2003 au 24 avril 2005. Toutefois, le demandeur a retiré cette prestation avec le consentement de son épouse, selon la demande de remboursement datée du 13 avril 2005 et munie de la signature des époux, document remis par l'institution précitée le 18 octobre 2011. Partant, il n'y a pas lieu d'inclure la partie acquise durant le mariage de cette prestation de libre passage dans les avoirs à partager du demandeur, conformément à la jurisprudence précitée.</w:t>
      </w:r>
    </w:p>
    <w:p>
      <w:r>
        <w:rPr>
          <w:b/>
        </w:rPr>
        <w:t>E. 6</w:t>
      </w:r>
    </w:p>
    <w:p>
      <w:r>
        <w:t>Selon les documents produits, la prestation acquise pendant le mariage par le demandeur est de 2'019 fr. 74 tandis que celle acquise par la demanderesse est de 1'958 fr. 40, les intérêts ayant déjà été calculés par les institutions de prévoyance défenderesses. Ainsi le demandeur doit à son ex-épouse le montant de 1'009 fr. 90 (2'019 fr. 74 fr. : 2) et celle-ci doit à celui-là le montant de 979 fr. 20 (1'958 fr. 40 fr. : 2), de sorte que c’est le demandeur qui doit à la demanderesse le montant de 30 fr. 70.</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8</w:t>
      </w:r>
    </w:p>
    <w:p>
      <w:r>
        <w:t>Aucun émolument ne sera perçu, la procédure étant gratuite (art. 73 al. 2 LPP et 89H al. 1 de la loi sur la procédure administrative du 12 septembre 1985).</w:t>
      </w:r>
    </w:p>
    <w:p>
      <w:r>
        <w:t>A/2221/2011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