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ATAS/1198/2009 vom 1. Oktober 2009</w:t>
      </w:r>
    </w:p>
    <w:p>
      <w:r>
        <w:t>GE Cour de justice, 2009-10-01, FR</w:t>
      </w:r>
    </w:p>
    <w:p>
      <w:r>
        <w:rPr>
          <w:b/>
        </w:rPr>
        <w:t xml:space="preserve">Quelle: </w:t>
      </w:r>
      <w:r>
        <w:t>https://mcp.opencaselaw.ch/entscheid/ge_gerichte_ATAS_1198_2009</w:t>
      </w:r>
    </w:p>
    <w:p>
      <w:r>
        <w:t>FR: GE_GERICHTE ATAS/1198/2009 du 1 octobre 2009</w:t>
      </w:r>
    </w:p>
    <w:p>
      <w:r>
        <w:t>IT: GE_GERICHTE ATAS/1198/2009 del 1 ottobre 2009</w:t>
      </w:r>
    </w:p>
    <w:p>
      <w:pPr>
        <w:pStyle w:val="Heading2"/>
      </w:pPr>
      <w:r>
        <w:t>Erwägungen</w:t>
      </w:r>
    </w:p>
    <w:p>
      <w:r>
        <w:rPr>
          <w:b/>
        </w:rPr>
        <w:t>E. 1</w:t>
      </w:r>
    </w:p>
    <w:p>
      <w:r>
        <w:t>Conformément à l’art. 56V al. 1er let. a ch. 5 de la loi genevoise du 22 novembre 1941 sur l’organisation judiciaire, le Tribunal cantonal des assurances sociales connaît en instance unique des contestations prévues à l’art. 56 de la loi fédérale du</w:t>
      </w:r>
    </w:p>
    <w:p>
      <w:r>
        <w:rPr>
          <w:b/>
        </w:rPr>
        <w:t>E. 6</w:t>
      </w:r>
    </w:p>
    <w:p>
      <w:r>
        <w:t>L’assurance-accidents est en principe tenue d’allouer ses prestations en cas d’accident professionnel ou non professionnel (art. 6 al. 1er LAA). Par accident, on entend toute atteinte dommageable, soudaine et involontaire, portée au corps humain par une cause extérieure extraordinaire qui compromet la santé physique, mentale ou psychique ou qui entraîne la mort (art. 4 LPGA ; ATF 129 V 404 consid. 2.1, 122 V 232 consid. 1 et les références citées). En l’espèce, il n’est ni contesté ni contestable que la double collision subie par le véhicule dans lequel la recourante avait pris place le 27 octobre 2001 constitue un événement extérieur extraordinaire propre à causer une atteinte dommageable, soudaine et involontaire, à la santé de celle-ci. a) Le droit à des prestations découlant d’un accident assuré suppose d’abord, entre l’événement de caractère accidentel et l’atteinte dommageable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Autrement dit, il n’existe pas, en droit des assurances sociales, un principe selon lequel l’administration ou le juge devrait statuer, dans le doute, en faveur de l’assuré (ATF 126 V 322 consid. 5a). Relevons en outre que si l’on peut admettre qu’un accident n’a fait que déclencher un processus qui serait de toute façon survenu sans cet événement, le lien de</w:t>
      </w:r>
    </w:p>
    <w:p>
      <w:r>
        <w:t>A/4185/2008 - 14/20 -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RAMA 1992 n.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A contrario, aussi longtemps que le statu quo sine vel ante n’est pas rétabli, l’assureur-accidents doit prendre à sa charge le traitement maladif préexistant, dans la mesure où il a été causé ou aggravé par l’accident.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117 V 359 consid. 4b). À cet égard, le Tribunal fédéral a précisé sa jurisprudence dans un ATF 134 V 109. Il ressort de cet arrêt que la causalité naturelle ne peut être admise que dans la mesure où elle se fonde sur des constatations de spécialistes. Les circonstances de l’accident et les douleurs dont se plaint l’assuré doivent être documentées de la manière la plus précise possible ; ainsi, il y a lieu d’interroger l’assuré sur son état antérieur (par exemple à l’aide du questionnaire préparé par l’Association suisse d’assurance lors de la première consultation médicale après un traumatisme d’accélération cranio-cervical). Les déclarations de l’assuré sur les circonstances de l’accident et sur les douleurs doivent cependant être examinées de manière critique à l’aune d’exigences élevées et des autres données relatives au déroulement de l’accident (rapport de police, etc.) et de ses suites. Si le diagnostic de traumatisme cervical n’est qu’une suspicion, le médecin doit l’indiquer. Même si le médecin estime qu’il s’agit bien de lésions à la suite d’un traumatisme d’accélération cranio- cervical, il faut encore se fonder sur les circonstances de l’accident et sur l’appréciation du médecin-conseil de l’assurance pour allouer les premières prestations d’indemnités journalières et de frais de traitement. Dans un grand nombre de cas concernant ce type d’accident, on constate une amélioration sensible après peu de temps. Par contre, lorsque les douleurs sont durables et se chronicisent, se pose la question du droit à une rente. Dans cette hypothèse, il y a lieu de mettre en œuvre une expertise médicale multidisciplinaire. Il en va de même si un tel processus apparaît déjà peu de temps après l’accident. Précisément, une</w:t>
      </w:r>
    </w:p>
    <w:p>
      <w:r>
        <w:t>A/4185/2008 - 15/20 - telle mesure d’instruction doit être ordonnée si les douleurs persistent six mois après le traumatisme et confiée à des spécialistes et comporter des examens neurologique, orthopédique, psychiatrique et, cas échéant, neuropsychologique. Pour certaines questions, elle devra être complétée par un examen oto- neurologique, ophtalmologique ou autre. L’expert devra prendre en compte les documents recueillis relatifs aux circonstances de l’accident, les premières constatations médicales et le développement jusqu’au jour de l’expertise. Seules seront considérées les déclarations convaincantes et les plaintes crédibles de l’assuré. Par ailleurs, l’expert posera un diagnostic différentiel entre les troubles de nature somatique et ceux de nature psychique, étant précisé que le seul fait qu’il y ait des circonstances sociales ou socioculturelles ne suffit pas à nier la relation de causalité (consid. 9). Dans le contexte de la suppression du droit à des prestations, la règle selon laquelle le fardeau de la preuve appartient à la partie qui invoque la suppression du droit (ATFA du 9 septembre 1999, U 355/98 consid. 2, publié in RAMA 2000 n. U 363 p. 46), entre seulement en considération s’il n’est pas possible d’établir, dans le cadre de la maxime inquisitoire et sur la base d’une appréciation des preuves, un état de fait qui, au degré de vraisemblance prépondérante, corresponde à la réalité (ATF 117 V 261 consid. 3b et les références citées). La preuve de la disparition du lien de causalité naturelle ne doit pas être rapportée par la preuve de facteurs étrangers à l’accident. Il est encore moins question d’exiger de l’assureur-accidents la preuve négative qu’aucune atteinte à la santé ne subsiste plus ou que la personne assurée est désormais en parfaite santé. Est seul décisif le point de savoir si les causes accidentelles d’une atteinte à la santé ne jouent plus de rôle et doivent ainsi être considérées comme ayant disparu (ATFA non publié du 10 mai 2007, U 172/06 consid. 6 et les références citées). Enfin, on relèvera qu’il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b)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En l’absence d’un substrat organique, l’examen de la causalité adéquate entre un accident assuré et des troubles à l’origine d’une incapacité de travail ou de gain</w:t>
      </w:r>
    </w:p>
    <w:p>
      <w:r>
        <w:t>A/4185/2008 - 16/20 - repose sur une classification des accidents en trois catégories (accidents de peu de gravité, accidents de gravité moyenne,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prendre en considération les sept critères exhaustifs suivants (cf. ATF 134 V 109 consid. 10.2) : – les circonstances concomitantes particulièrement dramatiques ou le caractère particulièrement impressionnant de l’accident ; – la gravité ou la nature particulière des lésions,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cranio-cérébral ; – la durée anormalement longue du traitement médical, qui ne saurait être examinée qu’en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apparues au cours de la guérison et aux complications importantes ; – et, enfin, le degré et la durée de l’incapacité de travail. À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se peut le monde du travail. Ainsi, il doit tenter de reprendre son activité malgré les éventuels désagréments personnels et, le cas</w:t>
      </w:r>
    </w:p>
    <w:p>
      <w:r>
        <w:t>A/4185/2008 - 17/20 - échéant, avec un accompagnement thérapeutique médical. Est dès lors déterminante non pas la durée de l’incapacité de travail, mais l’importance de l’incapacité de travail malgré les efforts consentis pour reprendre le travail. Ces critères ne doivent pas tous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115 V 133 consid. 6c/aa).</w:t>
      </w:r>
    </w:p>
    <w:p>
      <w:r>
        <w:rPr>
          <w:b/>
        </w:rPr>
        <w:t>E. 7</w:t>
      </w:r>
    </w:p>
    <w:p>
      <w:r>
        <w:t>En l’espèce, il a été établi que, suite à l’accident, la recourante présentait une entorse cervicale et une plaie au cuir chevelu, laquelle indiquait, selon toute vraisemblance, qu’outre la distorsion due à l’accélération de son véhicule vers l’avant puis vers l’arrière et les contusions à l’épaule et à la clavicule possiblement dues au port de la ceinture de sécurité, l’intéressée a subi un choc à la tête. Il a également été établi que la recourante souffrait des céphalées, nausées, vertiges et troubles de l’audition diagnostiqués par le médecin traitant dès avant ce fâcheux événement. Force est en outre de constater que, dans les premières semaines qui ont suivi, tous les médecins consultés s’accordaient à considérer que les conséquences de l’accident sur l’état de santé de la recourante seraient de courte durée. En janvier 2002, le docteur O___________, dont le pronostic était par ailleurs très favorable, a évoqué la présence d’un traumatisme cranio-cérébral et la possibilité d’une brève perte de connaissance. Le syndrome post-traumatique, diagnostiqué sur la base d’un électroencéphalogramme dont le tracé était légèrement déstructuré, mal spatialisé et présentait une abondance de rythmes de type musculaire, pouvait expliquer les céphalées, les troubles de la concentration et de la mémoire et les vertiges dont la recourante se plaignait. L’indication de ce praticien, selon laquelle la recourante n’avait jamais souffert de céphalées auparavant, montre cependant que l’anamnèse recueillie par ses soins comportait d’importantes lacunes. En mai 2002, le docteur de P___________ a pour sa part évoqué pour la première fois une pathologie ligamentaire, laquelle n’a pas été confirmée par la suite. Jusque et y compris l’expertise réalisée par le docteur Q___________ une année après l’accident, laquelle évoque pour la première fois un état dépressif, il apparaît donc que l’état de santé de la recourante ne suscitait pas de craintes particulières et que, moyennant un repos suffisant et une médication antalgique que celle-ci n’était pas disposée à prendre, l’évolution de la situation était placée sous les meilleurs auspices. C’est encore le lieu de relever qu’au moment de l’accident, la recourante venait d’apprendre que son contrat de travail était résilié. À la lecture du dossier médical,</w:t>
      </w:r>
    </w:p>
    <w:p>
      <w:r>
        <w:t>A/4185/2008 - 18/20 - il apparaît que cette situation n’a pas été sans conséquences sur l’importance et la durée qu’elle accordait aux troubles alors éprouvés. Quoi qu’il en soit, il s’impose de constater que les très nombreux avis médicaux recueillis auprès de divers spécialistes suite à l’expertise du docteur Q___________ ne fournissaient, sur le plan clinique, que des hypothèses largement inspirées par les seules plaintes de la recourante, de sorte qu’il se justifiait de procéder à l’expertise multidisciplinaire requise en 2006. Ainsi qu’il a déjà été dit, le rapport d’expertise du 25 octobre 2006 n’est pas critiquable sur le plan formel. À cela s’ajoute que les constatations rapportées émanent de spécialistes neurologue, psychiatre et neuropsychologue informés des résultats obtenus par leurs confrères radiologue et oto-rhino-laryngologue. Les circonstances et le déroulement de l’accident et les douleurs dont se plaignait la recourante sont documentés de manière précise et ils sont examinés de manière critique. Enfin, les experts ont posé des diagnostics différentiels entre les troubles de nature somatique et ceux de nature psychique. Il n’y a donc pas lieu de s’écarter de leurs conclusions. Ainsi, sur le plan somatique, il convient de retenir que le dommage causé par les cervicalgies, voire les brachialgies, éprouvées par la recourante ne se seraient pas produites du tout, ou en tout cas ne serait pas survenues de la même manière, sans la double collision du 27 octobre 2001 qui se présente donc bien comme la condition sine qua non de leur survenance. Force est en revanche de constater qu’il n’en va pas de même en ce qui concerne l’éventuelle incapacité de travail due à la survenance de céphalées, de vertiges ou de troubles de l’audition, dont la preuve de l’augmentation en raison de l’accident n’a nullement été rapportée. Pour le surplus, les indices en faveur d’une lésion post-traumatique, notamment neurologique, n’emportent pas la conviction. Sur le plan psychiatrique, il n’est pas contesté que la recourante n’a subi aucun dommage. Quant à la composante neuropsychologique, l’examen approfondi pratiqué par les experts a montré que si les troubles mnésiques et des fonctions exécutives constatés paraissaient compatibles avec une atteinte cérébrale, les résultats incohérents et contradictoires obtenus étaient vraisemblablement à mettre sur le compte du comportement démonstratif, d’allure histrionique, de la recourante. Cette opinion a été confirmée par les documents recueillis au cours de la surveillance opérée peu avant et après l’expertise, qui montrent que, contrairement à ce que soutient la recourante, elle n’éprouvait alors aucune difficulté à effectuer normalement des activités ordinaires telles que faire son marché ou conduire une automobile en toute sécurité. Au vu de ce qui précède, il s’impose de considérer avec les experts que, sur le plan somatique, le statu quo ante ou, à tout le moins, le statu quo sine, a été retrouvé deux ans après l’accident, soit à fin octobre 2003. Sur le plan neuropsychologique,</w:t>
      </w:r>
    </w:p>
    <w:p>
      <w:r>
        <w:t>A/4185/2008 - 19/20 - l’atteinte cognitive, jugée légère à modérée, de même que la surcharge de facteurs psychiques constatée, qui correspondaient, toutes causes confondues, à une atteinte à l’intégrité de 5 à 10%, peuvent certes constituer un dommage résiduel, mais rien n’indique qu’elles sont, directement ou indirectement, une conséquence de l’accident du 27 octobre 2001. Partant, le lien de causalité naturelle entre ce dommage et l’événement dommageable paraît, à tout le moins, fort ténu. Au vu des critères rappelés plus haut en ce qui concerne le lien de causalité adéquate, il sied de relever que l’examen du dossier, et notamment les éléments recueillis par la police et par le bureau d’expertises automobiles, ne laisse pas apparaître que l’accident aurait eu un caractère particulièrement impressionnant ou que des circonstances concomitantes aient été particulièrement dramatiques. Le tableau clinique typique relevé par les médecins consultés ne laisse pas davantage apparaître une gravité particulière ou des complications importantes, et rien n’indique que des traitements continus spécifiques et lourds aient été prescrits. Compte tenu de ce qui a déjà été dit, la crédibilité des douleurs alléguées par la recourante en regard de l’atteinte qu’elles occasionnaient réellement sur la vie de tous les jours est en outre pour le moins douteuse. Enfin, force est de constater que la recourante n’a pas fait montre de la volonté d’entreprendre tout ce qui était possible et exigible pour reprendre une activité professionnelle. Il découle de là que, même à considérer que l’accident dont elle a été la victime était de gravité moyenne, les critères qui permettent de retenir l’existence d’un lien de causalité naturelle entre l’événement dommageable et le dommage subi ne sont pas réalisés. En conséquence, c’est à bon droit que l’assureur-accidents a nié le droit de la recourante aux prestations de l’assurance-accidents à compter du 28 octobre 2003.</w:t>
      </w:r>
    </w:p>
    <w:p>
      <w:r>
        <w:rPr>
          <w:b/>
        </w:rPr>
        <w:t>E. 8</w:t>
      </w:r>
    </w:p>
    <w:p>
      <w:r>
        <w:t>Enfin, les parties n’ayant pas agi de manière téméraire ou témoigné de légèreté, et la recourante n’ayant pas obtenu gain de cause, la procédure est gratuite (art. 61 let. a et g LPGA).</w:t>
      </w:r>
    </w:p>
    <w:p>
      <w:r>
        <w:t>A/4185/2008 - 20/20 -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