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ATAS/1197/2018 vom 17. Dezember 2018</w:t>
      </w:r>
    </w:p>
    <w:p>
      <w:r>
        <w:t>GE Cour de justice, 2018-12-17, FR</w:t>
      </w:r>
    </w:p>
    <w:p>
      <w:r>
        <w:rPr>
          <w:b/>
        </w:rPr>
        <w:t xml:space="preserve">Quelle: </w:t>
      </w:r>
      <w:r>
        <w:t>https://mcp.opencaselaw.ch/entscheid/ge_gerichte_ATAS_1197_2018</w:t>
      </w:r>
    </w:p>
    <w:p>
      <w:r>
        <w:t>FR: GE_GERICHTE ATAS/1197/2018 du 17 décembre 2018</w:t>
      </w:r>
    </w:p>
    <w:p>
      <w:r>
        <w:t>IT: GE_GERICHTE ATAS/1197/2018 del 17 dicembre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3.1</w:t>
      </w:r>
    </w:p>
    <w:p>
      <w:r>
        <w:t>; arrêt du Tribunal fédéral 9C_595/2013 du 30 novembre 2013). En l’occurrence, au jour de la décision litigieuse, le droit à une rente d’invalidité n’était en conséquence pas ouvert. La question d’une extension de l’objet du litige</w:t>
      </w:r>
    </w:p>
    <w:p>
      <w:r>
        <w:t>A/4355/2016 - 27/29 - pourrait se poser. Toutefois, compte tenu des conclusions de l’experte judiciaire, lesquelles font dépendre le taux de capacité de travail du recourant dans une activité adaptée d’une mise en situation, il convient de constater qu’une mesure d’ordre professionnel apparait nécessaire, avant de pouvoir se prononcer sur un éventuel droit à une rente d’invalidité du recourant. Or, au 28 novembre 2016, date de la décision litigieuse, le recourant présentait une incapacité de travail totale dans ses anciennes activités depuis neuf mois et une incapacité de travail de 50 % dans une activité adaptée, de sorte qu’il peut être considéré comme étant, à cette date, menacé d’invalidité au sens des art. 8 al. 1 LAI et 1novies RAI. Partant, il a droit à des mesures de réadaptation. Il se justifie en conséquence de renvoyer la cause à l’intimé afin qu’il mette en œuvre toute mesure de réadaptation utile en faveur du recourant, en particulier une mesure d’ordre professionnelle telle qu’une orientation professionnelle. En effet, le recourant, éloigné du marché du travail depuis plusieurs années et qui présente de multiples limitations fonctionnelles l’empêchant d’exercer toutes les activités exercées antérieurement, doit être considéré comme étant entravé dans la recherche d’un emploi adéquat, de telle manière qu’il répond, en particulier, aux conditions du droit à une orientation professionnelle (art. 15 LAI). De plus, une mesure de réinsertion devrait être à même de donner une réponse à la question laissée ouverte par l’experte quant à la capacité effective du recourant d’exercer une activité adaptée à son état de santé au-delà d’un taux de 50 %. Par ailleurs, il ressort de l’expertise que le recourant a la volonté de suivre une éventuelle mesure d’ordre professionnelle, l’experte ayant relevé que le recourant pensait être encore capable de travailler dans d’autres activités que les précédentes, mais sans gros efforts qu’il ne pouvait plus faire (expertise p. 6-7). Ces déclarations confirment celles faites par le recourant en audience le 26 juin 2017 dès lors qu’il n’a jamais affirmé qu’il ne pouvait plus retravailler mais seulement émis des doutes sur le genre de travail qu’il pourrait faire au vu de sa situation (procès-verbal d’audience du 27 juin 2017). Enfin, l’âge du recourant, 53 ans en 2018, n’est pas un obstacle à une mesure de réinsertion. L’intimé, après mise en œuvre des mesures précitées, devra en conséquence rendre une nouvelle décision qui se prononcera sur le droit du recourant à une éventuelle rente d’invalidité. 15. Partant, le recours sera partiellement admis, la décision litigieuse annulée et la cause renvoyée à l’intimé, dans les sens des considérants. 16. Vu l’issue du litige, une indemnité de CHF 3’000.- sera accordée au recourant à titre de participation à ses frais et dépens (art. 61 let. g LPGA; art. 6 du règlement</w:t>
      </w:r>
    </w:p>
    <w:p>
      <w:r>
        <w:t>A/4355/2016 - 28/29 -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500.-.</w:t>
      </w:r>
    </w:p>
    <w:p>
      <w:r>
        <w:t>A/4355/2016 - 29/29 - PAR CES MOTIFS, LA CHAMBRE DES ASSURANCES SOCIALES : Statuant À la forme :</w:t>
      </w:r>
    </w:p>
    <w:p>
      <w:r>
        <w:rPr>
          <w:b/>
        </w:rPr>
        <w:t>E. 4</w:t>
      </w:r>
    </w:p>
    <w:p>
      <w:r>
        <w:t>Le litige porte sur le droit du recourant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w:t>
      </w:r>
    </w:p>
    <w:p>
      <w:r>
        <w:t>A/4355/2016 - 15/29 -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w:t>
      </w:r>
    </w:p>
    <w:p>
      <w:r>
        <w:t>A/4355/2016 - 16/29 - l'alcoolisme, la pharmacomanie, la toxicomanie et pour les névroses (RCC 1992 p. 182 consid. 2a et les références; arrêt du Tribunal fédéral des assurances I 237/04 du 30 novembre 2004 consid. 4.2). b.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c.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w:t>
      </w:r>
    </w:p>
    <w:p>
      <w:r>
        <w:t>A/4355/2016 - 17/29 -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A/4355/2016 - 18/29 -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w:t>
      </w:r>
    </w:p>
    <w:p>
      <w:r>
        <w:t>A/4355/2016 - 19/29 -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w:t>
      </w:r>
    </w:p>
    <w:p>
      <w:r>
        <w:rPr>
          <w:b/>
        </w:rPr>
        <w:t>E. 12</w:t>
      </w:r>
    </w:p>
    <w:p>
      <w:r>
        <w:t>a. La comparaison des revenus s'effectue, en règle ordinaire, en chiffrant aussi exactement que possible les montants de ces deux revenus et en les confrontant l'un</w:t>
      </w:r>
    </w:p>
    <w:p>
      <w:r>
        <w:t>A/4355/2016 - 20/29 -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w:t>
      </w:r>
    </w:p>
    <w:p>
      <w:r>
        <w:t>A/4355/2016 - 21/29 -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w:t>
      </w:r>
    </w:p>
    <w:p>
      <w:r>
        <w:t>A/4355/2016 - 22/29 - d’invalidité se confondant avec celui de l’incapacité de travail, sous réserve d’une éventuelle réduction du salaire statistique (arrêts du Tribunal fédéral des assurances I 43/05 du 30 juin 2006 consid. 5.2 et I 1/03 du 15 avril 2003 consid. 5.2).</w:t>
      </w:r>
    </w:p>
    <w:p>
      <w:r>
        <w:rPr>
          <w:b/>
        </w:rPr>
        <w:t>E. 13</w:t>
      </w:r>
    </w:p>
    <w:p>
      <w:r>
        <w:t>a. Selon l’art. 8 al. 1 et 1bis LAI, les assurés invalides ou menacés d'une invalidité (art. 8 LPGA) ont droit à des mesures de réadaptation pour autant : a. que ces mesures soient nécessaires et de nature à rétablir, maintenir ou améliorer leur capacité de gain ou leur capacité d'accomplir leurs travaux habituels ; b. que les conditions d'octroi des différentes mesures soient remplies (al. 1). Le droit aux mesures de réadaptation n'est pas lié à l'exercice d'une activité lucrative préalable. Lors de la fixation de ces mesures, il est tenu compte de la durée probable de la vie professionnelle restante (al. 1bis). Selon l’art. 1 novies RAI, il y a menace d'invalidité lorsqu'il est établi au degré de vraisemblance prépondérante que l'assuré perdra sa capacité de gain. Le moment auquel pourrait survenir l'incapacité de gain n'est pas déterminant.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N’entrent en revanche pas en considération les mesures destinées à l’obtention des connaissances scolaires de base propres à garantir le succès d’un apprentissage ou d’un enseignement. L’orientation professionnelle peut être combinée avec un essai de travail de plusieurs mois, ceci également dans un centre de réadaptation ou de formation. Un examen stationnaire accordé d’avance ne peut en règle générale pas dépasser trois mois. Ce délai ne peut être prolongé que dans des cas exceptionnels.</w:t>
      </w:r>
    </w:p>
    <w:p>
      <w:r>
        <w:t>A/4355/2016 - 23/29 - La prise en charge des coûts d’un séjour stationnaire sera particulièrement indiquée lorsqu’il intervient au titre d’un entrainement au travail ou d’une préparation à l’enseignement ou lorsque, suite à un licenciement, la concrétisation de la formation professionnelle initiale est mise en danger. L’état de santé de l’assuré et ses conséquences sur son aptitude à être formé doivent toutefois rendre nécessaire un tel séjour. I en va de même lorsqu’il séjourne dans un établissement pour l’exécution d’une mesure éducative, séjour qui ne s’oppose pas en principe à l’octroi de mesures d’ordre professionnel. Quant aux stages pratiques, ils ne devraient pas durer plus de deux semaines et être effectués pendant les vacances scolaires (ch. 2005 CMRP ; Michel VALTERIO, commentaire, Loi fédérale sur l’assurance-invalidité (AI), 2018, p. 215). c. 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w:t>
      </w:r>
    </w:p>
    <w:p>
      <w:r>
        <w:t>A/4355/2016 - 24/29 -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w:t>
      </w:r>
    </w:p>
    <w:p>
      <w:r>
        <w:rPr>
          <w:b/>
        </w:rPr>
        <w:t>E. 14</w:t>
      </w:r>
    </w:p>
    <w:p>
      <w:r>
        <w:t>a. En l’occurrence, l’expertise judiciaire du 16 mai 2018, comprenant le complément du 18 octobre 2018, fondée sur l’entier du dossier, lequel a été complété par l’experte, comprenant une anamnèse détaillée, un examen clinique, des radiographies ainsi qu’une consultation en pneumologie récentes demandées par l’experte, des diagnostics précis et des conclusions claires concernant les limitations fonctionnelles et la capacité de travail du recourant, remplit les critères jurisprudentiels précités pour qu’il lui soit reconnue une pleine valeur probante. b. L’experte a conclu à une incapacité de travail totale du recourant dans ses anciennes activités, survenue de façon progressive entre, au plus tôt, novembre 2015 et, au plus tard, mars 2016, tout en indiquant que les limitations fonctionnelles constatées au moment de l’expertise dataient probablement de l’automne 2015. S’agissant d’une capacité de travail dans une activité adaptée, elle est de 50 % depuis 2016, moyennant une formation spécialisée et une aide au placement (expertise p. 2). Le taux de 100 % n’est envisagé par l’experte qu’au mieux après six à douze mois, selon la tolérance physique du recourant, laquelle devait être observée à l’aide d’une mise en situation (expertise p. 21 et complément d’expertise p. 3). A teneur de ces conclusions, le recourant présente une incapacité de travail totale dans ses anciennes activités que l’on peut fixer, au degré de la vraisemblance prépondérante, à mars 2016 ; en effet, bien que l’experte considère les limitations fonctionnelles du recourant comme présentes probablement depuis novembre 2015 (complément d’expertise p. 2), elle a relevé que l’incapacité de travail était survenue de façon progressive entre novembre 2015 et mars 2016 (complément d’expertise p. 1) et que le recourant avait cessé toute activité de bucheronnage en février-mars 2016 (expertise p. 6). Par ailleurs, le recourant présente à tout le moins depuis mars 2016, une capacité de travail de 50 % dans une activité adaptée, soit une activité manuelle légère, laquelle, contrairement à l’avis du recourant ne nécessite pas obligatoirement une mesure préalable de reclassement. c. Les critiques émises par l’intimé ne sont pas à même de mettre en doute les conclusions de l’expertise judiciaire. c/aa. L’intimé a relevé que l’anamnèse de l’experte judiciaire différait de celle de l’expert G______ (du 6 juillet 2016). A cet égard, l’experte a expliqué de façon convaincante que la situation du recourant avait été sous-évaluée en 2016 ; elle a émis des réserves quant à la fiabilité de l’expertise du Dr G______ et a relevé qu’elle s’était mal passée, avec un problème de communication entre l’expert et le recourant ; le Dr G______ s’est d’ailleurs borné à indiquer, comme activités de la vie quotidienne, que le recourant entretenait son terrain de 6000m2, effectuait des travaux de bucheronnage seul en montant sur les arbres jusqu’à dix à quinze mètres,</w:t>
      </w:r>
    </w:p>
    <w:p>
      <w:r>
        <w:t>A/4355/2016 - 25/29 - avec sa tronçonneuse de 4 kg à la ceinture ainsi que divers travaux comme tondre le gazon ou changer des ampoules chez des voisins (expertise G______ p. 8). Or, l’experte a effectué une anamnèse beaucoup plus détaillée, de laquelle il ressort que les gros travaux de bucheronnage que le recourant effectuait en aidant un ami ou seul, n’avaient plus été possibles respectivement depuis l’été 2014 (expertise p. 4) et depuis février-mars 2016 (expertise p. 5-6) ; les douleurs lombaires s’étaient aggravées en automne 2015, il souffrait aussi des épaules de sorte que toute activité de bucheronnage avait été arrêtée vers février-mars 2016 (expertise p. 6). Il n’y a ainsi pas d’incohérence entre les deux anamnèses, celle effectuée par l’experte étant plus précise quant aux dates d’apparition des diverses limitations fonctionnelles mentionnées, étant par ailleurs relevé que l’experte a souligné le fait que l’entretien du recourant avec le Dr G______, le 6 juillet 2016, avait eu lieu seulement quelques mois après l’arrêt total des activités de bucheronnage du recourant (expertise p. 6), ce qui pourrait expliquer que le Dr G______ a considéré, un peu trop rapidement, que le recourant était toujours à même de les réaliser. c/bb. L’intimé se rallie au constat effectué par l’experte en 2018 et estime que l’état de santé du recourant s’est aggravé dans une mesure telle qu’au 19 janvier 2018 sa capacité de travail dans ses activités habituelles est nulle. Il s’écarte de la date, pourtant motivée par l’experte, de survenance de l’incapacité de travail totale en mars 2016. A cet égard, la date du 19 janvier 2018 n’est pas convaincante dès lors qu’elle correspond aux examens radiologiques effectués à la demande de l’experte et ne tient pas compte d’autre éléments pertinents, tels que l’évolution des différentes pathologies rhumatologiques dégénératives du recourant. En outre, l’intimé admet, au vu des rapports médicaux versés au dossier par l’experte, que des limitations fonctionnelles existaient effectivement antérieurement à l’expertise du Dr G______ mais estime qu’elles n’avaient aucun retentissement sur l’activité habituelle, sans motivation convaincante. Au surplus, il sera constaté qu’il est contradictoire de la part de l’intimé de dénier toute valeur probante à l’expertise judiciaire (écriture de l’intimé du 6 août 2018 p. 3), tout en suivant les conclusions de celles-ci quant à une incapacité de travail totale du recourant dans ses activités habituelles dès janvier 2018. c/cc. Selon l’intimé, le diagnostic d’éthylisme chronique ne peut être reconnu comme ayant une influence sur la capacité de travail. A cet égard, l’experte, tout en mentionnant ce diagnostic comme ayant une répercussion sur la capacité de travail du recourant, a précisé qu’il ne concernait que des travaux de conduite et de précision, ce diagnostic n’ayant aucun influence sur l’exercice d’une activité manuelle légère telle que décrite par l’experte comme activité adaptée (expertise p.</w:t>
      </w:r>
    </w:p>
    <w:p>
      <w:r>
        <w:rPr>
          <w:b/>
        </w:rPr>
        <w:t>E. 19</w:t>
      </w:r>
    </w:p>
    <w:p>
      <w:r>
        <w:t>et complément d’expertise p. 3). L’incapacité de travail de 50 % dans une activité adaptée n’est donc pas justifiée par ce diagnostic. c/dd. Enfin, l’intimé conteste l’incapacité de travail de 50 % dans une activité adaptée fixée par l’experte, au motif que les pathologies ostéoarticulaires ne sont pas suffisamment grave et sévère (pas d’atteinte radiculaire, pas de déficit moteur</w:t>
      </w:r>
    </w:p>
    <w:p>
      <w:r>
        <w:t>A/4355/2016 - 26/29 - ni d’opération prévue). Une activité sans baisse de rendement était exigible, telle que relevant de la surveillance, du contrôle ou de l’industrie légère. A cet égard, l’experte n’a pas exclu toute capacité de travail complète du recourant dans une activité adaptée, mais a estimé qu’il était préférable que le recourant débute une activité à 50 % afin d’évaluer sa tolérance physique à l’effort ; l’experte préconise ainsi des mesures telles qu’une adaptation progressive à une nouvelle activité. Ce faisant, elle estime que le recourant doit être mis au bénéfice d’une mesure d’ordre professionnel avant de pouvoir se prononcer de façon plus précise sur son taux de capacité de travail dans une activité adaptée, singulièrement d’affirmer qu’il pourrait être supérieur à 50 %. d. Au vu de ce qui précède, les conclusions de l’expertise judiciaire, probante, doivent être suivies. Ainsi, il convient de retenir que le recourant a présenté depuis le 1er mars 2016 une incapacité de travail totale dans son ancienne activité et de 50 % dans une activité adaptée. En conséquence, au 28 janvier 2016, soit au jour de la décision litigieuse, le recourant ne présentait pas encore une incapacité de travail de 40 % au moins en moyenne durant une année (art. 28 al. 1 let. b LAI). Cette condition a été remplie le 1er mars 2017, dès lors que le recourant a présenté, à cette date, une incapacité de travail de 50 % dans toute activité depuis le 1er mars 2016. A cet égard, de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p. 243; 121 V 362 consid. 1b p. 366). Pour des motifs d'économie de procédure, la procédure juridictionnelle administrative peut être étendue à une question en état d'être jugée qui excède l'objet de la contestation, lorsque cette question est si étroitement liée à l'objet initial que l'on peut parler d'un état de fait commun, et à la condition que l'administration se soit exprimée à son sujet dans un acte de procédure au moins (ATF 130 V 501 consid. 1.2 p. 503, 122 V 34 consid. 2a p. 36 et les références). Les conditions auxquelles une extension du procès au-delà de l'objet de la contestation est admissible vont nettement plus loin que le lien matériel étroit exigé pour l'extension de la procédure au-delà de l'objet du litige. Celles-ci doivent être réalisées cumulativement; la question qui excède l'objet de la contestation particulièrement doit être en état d'être jugée (cf. ULRICH MEYER/ISABEL VON ZWEHL, L'objet du litige en procédure de droit administratif fédéral, in: Mélanges Pierre Moor, 2005, n° 27 p. 446; arrêt 9C_694/2009 du 31 décembre 2010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