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ATAS/1197/2011 vom 5. Dezember 2011</w:t>
      </w:r>
    </w:p>
    <w:p>
      <w:r>
        <w:t>GE Cour de justice, 2011-12-05, FR</w:t>
      </w:r>
    </w:p>
    <w:p>
      <w:r>
        <w:rPr>
          <w:b/>
        </w:rPr>
        <w:t xml:space="preserve">Quelle: </w:t>
      </w:r>
      <w:r>
        <w:t>https://mcp.opencaselaw.ch/entscheid/ge_gerichte_ATAS_1197_2011</w:t>
      </w:r>
    </w:p>
    <w:p>
      <w:r>
        <w:t>FR: GE_GERICHTE ATAS/1197/2011 du 5 décembre 2011</w:t>
      </w:r>
    </w:p>
    <w:p>
      <w:r>
        <w:t>IT: GE_GERICHTE ATAS/1197/2011 del 5 dicembre 2011</w:t>
      </w:r>
    </w:p>
    <w:p>
      <w:pPr>
        <w:pStyle w:val="Heading2"/>
      </w:pPr>
      <w:r>
        <w:t>Erwägungen</w:t>
      </w:r>
    </w:p>
    <w:p>
      <w:r>
        <w:rPr>
          <w:b/>
        </w:rPr>
        <w:t>E. 2</w:t>
      </w:r>
    </w:p>
    <w:p>
      <w:r>
        <w:t>Le litige porte sur le droit de la demanderesse à des indemnités journalières.</w:t>
      </w:r>
    </w:p>
    <w:p>
      <w:r>
        <w:t>A/2141/2011 - 5/10 - a) La jurisprudence applicable avant l'introduction du CPC, prévoyant l'application de la maxime inquisitoire sociale aux litiges relevant de l'assurance-maladie complémentaire (cf. ATF 127 III 421 consid. 2), reste pleinement valable. Selon cette maxime, le juge doit établir d'office les faits, mais les parties sont tenues de lui présenter toutes les pièces nécessaires à l'appréciation du litige. Le juge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Par ailleurs, la maxime inquisitoire laisse le juge libre dans sa manière d'apprécier les preuves et ne lui interdit pas de renoncer à un moyen de preuve par appréciation anticipée (ATF 129 III 18 consid. 2.6). Au surplus, la maxime inquisitoire sociale ne modifie pas la répartition du fardeau de la preuve (ATF np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(ATF 130 III 321 consid. 3.1). En ce qui concerne le degré de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y a vraisemblance prépondérante lorsqu'il est possible que les faits pertinents se soient déroulés différemment, mais que les autres possibilités ou hypothèses envisageables n'entrent pas raisonnablement en considération. Parmi tous les éléments de fait allégués ou envisageables, le juge doit, le cas échéant, retenir ceux qui lui paraissent les plus probables (ATF 130 III 324 consid. 3.2 et 3.3; 126 V 360 consid. 5b; 125 V 195 consid. 2). b)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w:t>
      </w:r>
    </w:p>
    <w:p>
      <w:r>
        <w:t>A/2141/2011 - 6/10 - pleine connaissance de l’anamnèse, que la description du contexte médical et l’appréciation de la situation médicale soient claires et qu’enfin, les conclusions de l’expert soient dûment motivées (ATF 125 V 351 consid. 3a; 122 V 157 consid. 1c). Selon l’expérience de la vie, le médecin traitant est généralement enclin, en cas de doute, à prendre parti pour son patient en raison de la relation de confiance qui l’unit à ce dernier. Ainsi, la jurisprudence accorde plus de poids aux constatations faites par un expert qu’à l’appréciation de l’incapacité de travail par le médecin de famille (ATF 125 V 351 consid. 3b/cc). c) En matière d'assurances complémentaires, les parties sont liées par l'accord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 journalière (ATF 124 V 201 consid. 3d; ATAS/1104/2006). La LCA ne contient pas de règle d'interprétation des contrats. Comme l’art. 100 LCA renvoie au CO pour tout ce qu'elle ne règle pas elle-même, la jurisprudence en matière de contrats est applicable. Les conditions générales, lorsqu'elles ont été incorporées au contrat, en font partie intégrante; elles doivent être interprétées selon les mêmes principes que les autres dispositions contractuelles (ATF 133 III 675 consid. 3.3; 122 III 118 consid. 2a; 117 II 609 consid. 6c). 3.a) Aux termes de l'art. C1 al. 1 CGA, l'assuré a droit à des prestations si, sur constatation du médecin, il est atteint d'une incapacité de travail de 25% au mois. L'art. B4 al. 1 CGA définit l'incapacité de travail comme une incapacité d'accomplir un travail qui peut être raisonnablement exigé de la personne assurée dans sa profession ou son domaine d'activité. Cette disposition précise qu'il est également tenu compte de travaux pouvant être raisonnablement exigés dans une autre profession ou un autre domaine d'activité. b) En l'espèce, les avis des deux experts mis en œuvre par la défenderesse concluent à une capacité de travail de 100% tant sur le plan psychique que sur le plan somatique, si les limitations fonctionnelles sont respectées. La demanderesse ne critique pas spécifiquement ces expertises, mais expose que ses douleurs et les certificats médicaux de son médecin-traitant contredisent les conclusions du Dr C__________. Ces motifs ne suffisent pas pour s'écarter de l'expertise du Dr C__________. En effet, celle-ci repose sur une anamnèse complète, le dossier médical et l'examen de l'expertisée; elle tient compte des plaintes exprimées par l'expertisée, comporte une discussion détaillée, pose un diagnostic et répond de manière claire aux questions posées. La problématique des douleurs est abordée de manière circonstanciée. L'expert explique que l'examen clinique est difficile à interpréter, car il est parasité par des douleurs plus diffuses, des signes</w:t>
      </w:r>
    </w:p>
    <w:p>
      <w:r>
        <w:t>A/2141/2011 - 7/10 - comportementaux de la douleur et l'impossibilité de l'effectuer de manière approfondie. Il relève qu'au vu de l'attitude lorsque les différentes possibilités thérapeutiques sont évoquées, il doute qu'un traitement quel qu'il soit modifie les plaintes. L'expert a encore précisé être pessimiste quant à l'évolution des douleurs, compte tenu de la présence de signes comportementaux de la douleur et de nombreux points de fibromyalgie. L'abaissement du seuil de la douleur jouait un rôle important. Il n'a pas pour autant conclu à une incapacité de travail dans une activité adaptée. Par ailleurs, si le Dr A__________ a établi des certificats médicaux attestant d'une incapacité de travail de 100%, il ressort clairement des autres documents établis par ce médecin qu'il estime que l'incapacité est de 100% uniquement dans l'activité exercée au moment de l'arrêt de travail. En effet, dans son certificat médical du 27 janvier 2011, il répond par l'affirmative à la question de savoir si une autre activité peut raisonnablement être exigée de l'assurée et indique qu'un tel travail à 100% pourrait être testé. En outre, dans ses courriers au médecin-conseil de la défenderesse des 7 et 20 juin 2011, il explique que sa patiente s'oppose à la décision de l'assurance car elle souhaite travailler et être "orientée dans une activité avec formation si nécessaire tenant compte de son handicap". L'AI devait à cet effet assurer la mesure de réinsertion. Le médecin-traitant n'apporte donc aucune critique sur le plan médical quant à la conclusion de l'expertise du Dr C__________. La capacité de travail entière sur plan psychique n'est pas contestée. L'expertise du Dr B__________ doit, au demeurant, se voir accorder pleine valeur probante. Elle repose sur l'étude du dossier, un entretien avec le Dr A__________ et l'expertisée, comporte une anamnèse, tient compte des plaintes de la demanderesse, de son traitement, débouche sur un diagnostic, une discussion et des réponses claires aux questions posées. Aucun élément au dossier ne vient, enfin, la contredire. Au vu de ces appréciations médicales, la Cour retient que la demanderesse est incapable de travailler dans son activité de nettoyeuse, mais pleinement capable de travailler dans une activité adaptée. Dans la mesure où la demanderesse dispose d'une capacité de travail entière dans une activité tenant compte de ses limitations fonctionnelles, elle ne subit pas d'incapacité de travail au sens de l'art. B4 al. 1 CGA.</w:t>
      </w:r>
    </w:p>
    <w:p>
      <w:r>
        <w:rPr>
          <w:b/>
        </w:rPr>
        <w:t>E. 4</w:t>
      </w:r>
    </w:p>
    <w:p>
      <w:r>
        <w:t>Reste à examiner si un changement d'activité peut être exigé de la demanderesse et si le délai de trois mois laissé à celle-ci pour lui permettre de trouver un emploi dans une activité adaptée est suffisant. a) L'art. 61 LCA dispose que lors du sinistre, l' ayant-droit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w:t>
      </w:r>
    </w:p>
    <w:p>
      <w:r>
        <w:t>A/2141/2011 - 8/10 - l'assureur peut réduire l'indemnité au montant auquel elle serait ramenée si l'obligation avait été remplie (al. 2). Dans des arrêts qui concernaient comme ici une assurance collective d'indemnités journalières selon la LCA (ATF 127 III 106 consid. 4c; ATF np 5C.176/1998 du 23 octobre 1998, consid. 2c), le Tribunal fédéral a considéré que l'art. 61 LCA était l'expression du même principe général dont il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 ATF 111 V 235 consid. 2a; 114 V 281 consid. 3a). Lorsque l'assuré doit envisager un changement de profession en regard de l'obligation de diminuer le dommage, l'assurance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l'assurance doit en règle générale être considéré comme adéquat (ATF 133 III 527 consid. 3.2.1). b) En l'espèce, la demanderesse elle-même a manifesté, à plusieurs reprises, son intention de se réorienter professionnellement. Elle l'a dit et fait savoir par son médecin-traitant; elle l'a expliqué au représentant de la défenderesse lors de l'entretien qu'elle a eu le 8 février 2011 avec celui-ci; enfin, elle l'a également indiqué au Dr C__________, lors de son examen le 5 mai 2011. Dès lors que la demanderesse appelle de ses propres vœux une réorientation professionnelle et qu'aucun élément au dossier ne plaide en défaveur d'un changement professionnel, celui-ci peut raisonnablement être exigé par la demanderesse, en vue de diminuer son dommage. Compte tenu du fait qu'elle ne dispose pas d'une formation professionnelle, le changement de profession peut être exigé d'elle sans devoir attendre l'écoulement d'une période de formation. Partant, le délai de trois mois accordé à la demanderesse pour trouver un emploi adapté ne nécessitant pas de formation paraît tout à fait adéquat. Il l'est d'autant plus qu'au début de l'année 2011 déjà, la demanderesse souhaitait un tel changement. Par ailleurs, le Dr C__________ avait informé, au plus tard le 8 mai 2011, l'assurée et son médecin de ses conclusions. Le délai de trois mois, à compter du 1er juin 2011, ne prête donc pas le flanc à la critique. c) A noter que la défenderesse a, en sus, effectué une comparaison des revenus avec et sans invalidité, afin d'établir si, malgré la capacité de travail entière dans une activité adaptée, la demanderesse subissait une perte de gain. Suivant la pratique et la jurisprudence relative à l'assurance-invalidité, la défenderesse s'est fondée sur les chiffres ressortant de l'Enquête sur la structure des salaire de l'Office fédéral des</w:t>
      </w:r>
    </w:p>
    <w:p>
      <w:r>
        <w:t>A/2141/2011 - 9/10 - statistiques, pour retenir que la demanderesse pourrait réaliser, dans une activité simple et répétitive ne nécessitant pas de formation, un salaire annuel de 53'664 fr. 10. Même en tenant compte d'une diminution de rendement de 25% due à son handicap, la perte de gain de la demanderesse ne dépasserait pas 1,19%, restant ainsi bien en deçà des 25% d'incapacité de travail assurés selon l'art. C1 al. 1 CGA. Ce raisonnement est en tous points conforme à la détermination du degré d'invalidité applicable en matière d'assurance-invalidité (cf. à ce sujet ATF 130 V 348 consid. 3.4; 126 V 76 consid. 3 et 5); il n'est au demeurant nullement critiqué par la demanderesse. d) Pour le surplus, la Cour relève - dès lors que la demanderesse invoque également son contrat de travail à l'appui de sa demande - qu'elle n'est pas compétente pour statuer sur les éventuelles prétentions découlant du contrat de travail. Les engagements pris par l'employeur à l'égard de ses employés constituent des res inter alios acta, qui ne sont pas opposables à l'assurance. En tous points infondée, la demande doit être rejetée.</w:t>
      </w:r>
    </w:p>
    <w:p>
      <w:r>
        <w:rPr>
          <w:b/>
        </w:rPr>
        <w:t>E. 5</w:t>
      </w:r>
    </w:p>
    <w:p>
      <w:r>
        <w:t>Il n'est pas perçu de frais judiciaires, la procédure étant gratuite (art. 114 let. e CPC). * * *</w:t>
      </w:r>
    </w:p>
    <w:p>
      <w:r>
        <w:t>A/2141/2011 - 10/10 -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