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ATAS/1197/2009 vom 1. Oktober 2009</w:t>
      </w:r>
    </w:p>
    <w:p>
      <w:r>
        <w:t>GE Cour de justice, 2009-10-01, FR</w:t>
      </w:r>
    </w:p>
    <w:p>
      <w:r>
        <w:rPr>
          <w:b/>
        </w:rPr>
        <w:t xml:space="preserve">Quelle: </w:t>
      </w:r>
      <w:r>
        <w:t>https://mcp.opencaselaw.ch/entscheid/ge_gerichte_ATAS_1197_2009</w:t>
      </w:r>
    </w:p>
    <w:p>
      <w:r>
        <w:t>FR: GE_GERICHTE ATAS/1197/2009 du 1 octobre 2009</w:t>
      </w:r>
    </w:p>
    <w:p>
      <w:r>
        <w:t>IT: GE_GERICHTE ATAS/1197/2009 del 1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s’applique au cas d’espèce.</w:t>
      </w:r>
    </w:p>
    <w:p>
      <w:r>
        <w:rPr>
          <w:b/>
        </w:rPr>
        <w:t>E. 3</w:t>
      </w:r>
    </w:p>
    <w:p>
      <w:r>
        <w:t>Déposé dans les forme et délai prévus par la loi, le présent recours est recevable (art. 56 à 60 LPGA).</w:t>
      </w:r>
    </w:p>
    <w:p>
      <w:r>
        <w:rPr>
          <w:b/>
        </w:rPr>
        <w:t>E. 4</w:t>
      </w:r>
    </w:p>
    <w:p>
      <w:r>
        <w:t>Le litige porte sur le droit du recourant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S'agissant du droit aux prestations, on rappellera brièvement que selon l’art. 28 al. 1er LAI (dans sa teneur en vigueur du 1er janvier 2004 au 31 décembre 2007), l’assuré a droit à une rente entière s’il est invalide à 70% au moins, à trois quarts de</w:t>
      </w:r>
    </w:p>
    <w:p>
      <w:r>
        <w:t>A/402/2009 - 5/9 - rente s’il est invalide à 60% au moins, à une demi-rente s’il est invalide à 50% au moins, ou à un quart de rente s’il est invalide à 40% au moins. Selon l’art. 29 al. 1er LAI,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A/402/2009 - 6/9 -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w:t>
      </w:r>
    </w:p>
    <w:p>
      <w:r>
        <w:t>A/402/2009 - 7/9 - disproportionné dans le cas particulier (RAMA 1993 n° U 170 p. 136, 1989 n° K 809 p. 206). Á l'inverse, le renvoi à l'administration apparaît en général justifié si celle-ci a constaté les faits de façon sommaire, dans l'idée que le Tribunal les éclaircirait comme il convient en cas de recours (voir RAMA 1986 n° K 665 p. 87).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En l'espèce, l'expertise médicale du Dr C__________ se fonde, notamment, sur le dossier médical du recourant, sur un entretien avec celui-ci, sur une anamnèse complète, sur ses antécédents médicaux, sur ses plaintes ainsi que sur un statut clinique. Au niveau des diagnostics et de leur influence sur la capacité de travail, les conclusions sont claires et motivées. En revanche, les remarques des médecins traitants, les Drs A__________ et B__________, ne sauraient remettre en question les conclusions motivées et convaincantes de l'expertise. Les conditions jurisprudentielles quant à la valeur probante d'une expertise sont bien remplies, et le Tribunal suivra donc ses conclusions, qui sont une pleine capacité de travail dans l'activité de monteur en tableaux électriques, sans diminution de rendement. En conséquence, l'ordonnance d'une contre expertise et l'audition des médecins traitants ne sont pas nécessaires.</w:t>
      </w:r>
    </w:p>
    <w:p>
      <w:r>
        <w:rPr>
          <w:b/>
        </w:rPr>
        <w:t>E. 8</w:t>
      </w:r>
    </w:p>
    <w:p>
      <w:r>
        <w:t>Concernant l'expertise psychiatrique du CMPC, il apparaît qu’au regard des principes qui ont été rappelés sous le point 6, le rapport d’expertise établi par le Dr E__________ le 15 février 2008 remplit, tout comme l'expertise du Dr C__________, les conditions de forme et de fond posées par la jurisprudence pour en admettre la pleine valeur probante. L’expertise conduite par ce praticien se fonde notamment sur un entretien passé avec le recourant, sur des examens psychiques étendus, sur une anamnèse personnelle, professionnelle et sociale détaillée, sur ses antécédents, sur les plaintes exprimées par le recourant et sur une description soigneuse des constatations objectives. Au sujet des influences sur la capacité de travail, les conclusions sont claires, sans contradiction. Du reste, le recourant n'invoque pas dans son recours ni d'éventuelles</w:t>
      </w:r>
    </w:p>
    <w:p>
      <w:r>
        <w:t>A/402/2009 - 8/9 - irrégularités dans l'expertise, ni souffrir de problèmes psychiques. Le rapport d’expertise psychiatrique offre ainsi une appréciation d’ensemble cohérente et digne de foi. Le Tribunal confirme la valeur probante de l'expertise psychiatrique du CMPC, ainsi que celle du Dr C__________, qui confirment, toutes les deux, la pleine capacité de travail du recourant dans son activité de monteur-électricien. Dès lors, la décision litigieuse de l'OCAI est confirmée, et le droit à des prestations de l'assurance-invalidité refusé.</w:t>
      </w:r>
    </w:p>
    <w:p>
      <w:r>
        <w:rPr>
          <w:b/>
        </w:rPr>
        <w:t>E. 9</w:t>
      </w:r>
    </w:p>
    <w:p>
      <w:r>
        <w:t>La loi fédérale du 16 décembre 2005 modifiant la loi fédérale sur l'assurance- invalidité et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w:t>
      </w:r>
    </w:p>
    <w:p>
      <w:r>
        <w:t>A/402/2009 - 9/9 -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