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ATAS/1196/2008 vom 27. Januar 2006</w:t>
      </w:r>
    </w:p>
    <w:p>
      <w:r>
        <w:t>GE Cour de justice, 2006-01-27, FR</w:t>
      </w:r>
    </w:p>
    <w:p>
      <w:r>
        <w:rPr>
          <w:b/>
        </w:rPr>
        <w:t xml:space="preserve">Quelle: </w:t>
      </w:r>
      <w:r>
        <w:t>https://mcp.opencaselaw.ch/entscheid/ge_gerichte_ATAS_1196_2008</w:t>
      </w:r>
    </w:p>
    <w:p>
      <w:r>
        <w:t>FR: GE_GERICHTE ATAS/1196/2008 du 27 janvier 2006</w:t>
      </w:r>
    </w:p>
    <w:p>
      <w:r>
        <w:t>IT: GE_GERICHTE ATAS/1196/2008 del 27 gennaio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En l'occurrence, se pose d'abord la question de l'exequatur du jugement de divorce, lequel a été rendu par un tribunal français. a) S'agissant de la reconnaissance de jugements étrangers, il convient de se référer à la loi fédérale sur le droit international privé du 18 mars 1987 (LDIP). Selon son art. 25, une décision étrangère est reconnue en Suisse : a. si la compétence des autorités judiciaires ou administratives de l'État dans lequel la décision a été rendue était donnée; b. si la décision n'est plus susceptible de recours ordinaire ou si elle est définitive; c. s'il n'y a pas de motif de refus au sens de l'art. 27 LDIP, lequel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L'art. 29 LDIP définit la procédure de reconnaissance des décisions étrangères comme suit : "La requête en reconnaissance ou en exécution sera adressée à l'autorité compétente du canton où la décision étrangère est invoquée. Elle sera accompagnée :</w:t>
      </w:r>
    </w:p>
    <w:p>
      <w:r>
        <w:t>A/2688/2008 4/7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Lorsqu'une décision étrangère est invoquée à titre préalable, l'autorité saisie peut statuer elle-même sur la reconnaissance (art. 29 al. 3 LDIP). b) Il appartient ainsi au Tribunal de céans de statuer, à titre préjudiciel, sur la reconnaissance en Suisse du jugement de divorce rendu le 27 janvier 2006 par le TRIBUNAL DE GRANDE INSTANCE DE THONON LES BAINS. Le Tribunal fédéral des assurances a confirmé qu'en pareil cas, la juridiction saisie peut faire usage de la faculté réservée par l'art. 29 al. 3 LDIP et statuer elle-même, à titre préjudiciel, sur la reconnaissance en Suisse du divorce prononcé à l'étranger (ATF</w:t>
      </w:r>
    </w:p>
    <w:p>
      <w:r>
        <w:rPr>
          <w:b/>
        </w:rPr>
        <w:t>E. 6</w:t>
      </w:r>
    </w:p>
    <w:p>
      <w:r>
        <w:t>Selon les documents produits, la prestation acquise pendant le mariage par le demandeur s'élève à 148'584 fr. 05 (124'884.05 + 23'700.-), les intérêts ayant déjà été calculés par l'institution de prévoyance défenderesse. Ainsi le demandeur doit à son ex-épouse le montant de 74'292 fr.</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La demanderesse étant domiciliée en France, se pose à présent la question de savoir si le montant qui lui est dû peut lui être versé en espèces ou s'il doit l'être sur un compte de libre passage ouvert auprès d'une institution de prévoyance suisse. Conformément à l'Accord sur la libre circulation des personnes (ALCP; art. 8 et annexe II), ce sont principalement les règlements CEE nos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w:t>
      </w:r>
    </w:p>
    <w:p>
      <w:r>
        <w:t>A/2688/2008 6/7 disposition imposant le paiement des rentes sur le seul territoire suisse. Le versement en espèces de la prestation de libre passage en cas de cessation d'assujettissement en Suisse (art. 5 al. 1 let. a LFLP) subit en revanche quelques restrictions.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 sur ce point, le Bulletin de la prévoyance professionnelle n°96 du 18 décembre 2006). Seuls les ex-époux n'ayant jamais eu de lien avec la Suisse puissent donc se voir sans autre verser l'avoir en espèces car ils ne tombent alors pas sous le coup de l'art. 10 du règlement 1408/07, lequel ne s'applique qu'en cas de "cessation d'assujettissement". Ces restrictions sont entrées en vigueur le 1er juin 2007, à l'échéance d'un délai transitoire de cinq ans à compter de l'entrée en vigueur de l'ALCP. C'est la date du départ définitif qui détermine la réglementation applicable au versement. Si la personne concernée n'est pas assujettie à l'assurance obligatoire d'un État membre de l'UE (la preuve doit en être apportée par l'intéressé) ou si la prestation est utilisée à des fins d'acquisition d'un logement, il y aura toujours la possibilité d'un versement en espèces. En l'espèce, la demanderesse ayant travaillé en Suisse par le passé, elle a été assujettie à l'assurance obligatoire. Cependant, sa dernière activité en Suisse remonte à 1999. C'est donc à cette date que remonte la fin de son assujettissement et qu'il faut se référer pour déterminer quelle est la réglementation applicable. L'ALCP n'étant entré en vigueur que postérieurement, rien ne s'oppose à un versement en espèces dans le cas présent.</w:t>
      </w:r>
    </w:p>
    <w:p>
      <w:r>
        <w:rPr>
          <w:b/>
        </w:rPr>
        <w:t>E. 9</w:t>
      </w:r>
    </w:p>
    <w:p>
      <w:r>
        <w:t>Aucun émolument ne sera perçu, la procédure étant gratuite (art. 73 al. 2 LPP et 89H al. 1 de la loi sur la procédure administrative du 12 septembre 1985).</w:t>
      </w:r>
    </w:p>
    <w:p>
      <w:r>
        <w:t>A/2688/2008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