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ATAS/1195/2012 vom 4. Oktober 2012</w:t>
      </w:r>
    </w:p>
    <w:p>
      <w:r>
        <w:t>GE Cour de justice, 2012-10-04, FR</w:t>
      </w:r>
    </w:p>
    <w:p>
      <w:r>
        <w:rPr>
          <w:b/>
        </w:rPr>
        <w:t xml:space="preserve">Quelle: </w:t>
      </w:r>
      <w:r>
        <w:t>https://mcp.opencaselaw.ch/entscheid/ge_gerichte_ATAS_1195_2012</w:t>
      </w:r>
    </w:p>
    <w:p>
      <w:r>
        <w:t>FR: GE_GERICHTE ATAS/1195/2012 du 4 octobre 2012</w:t>
      </w:r>
    </w:p>
    <w:p>
      <w:r>
        <w:t>IT: GE_GERICHTE ATAS/1195/2012 del 4 ottobre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w:t>
      </w:r>
    </w:p>
    <w:p>
      <w:r>
        <w:t>A/1827/2012 - 5/12 - moment où les faits juridiquement déterminants se sont produits (ATF 130 V 230 consid. 1.1; 335 consid. 1.2; ATF 129 V 4 consid. 1.2; ATF 127 V 467 consid. 1, 126 V 136 consid. 4b et les références). En l'espèce, l'objet du litige porte sur une demande de prestations du 31 mars 2010 en raison d'une incapacité de travail de la recourante depuis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En revanche, les modifications de la LAI du 18 mars 2011, en vigueur depuis le 1er janvier 2012 (6ème révision), ne sont pas applicables au cas d'espèce, en application du principe précité.</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26 août 2011, qui a été confirmé par la décision du 16 mai 2012, contre laquelle l'assurée a interjeté directement recours devant la Chambre des assurances sociales de la Cour de justice.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w:t>
      </w:r>
    </w:p>
    <w:p>
      <w:r>
        <w:t>A/1827/2012 - 6/12 -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w:t>
      </w:r>
    </w:p>
    <w:p>
      <w:r>
        <w:t>A/1827/2012 - 7/12 -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w:t>
      </w:r>
    </w:p>
    <w:p>
      <w:r>
        <w:t>A/1827/2012 - 8/12 -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A/1827/2012 - 9/12 -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w:t>
      </w:r>
    </w:p>
    <w:p>
      <w:r>
        <w:t>A/1827/2012 - 10/12 -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a) En l'espèce, l'expertise du Dr P__________ du 29 juillet 2011 conclut à un diagnostic d'anorexie mentale atypique et de trouble anxieux sans précision, sans aucune répercussion sur la capacité de travail de la recourante. La Cour de céans constate que cette appréciation est en contradiction avec les avis médicaux des médecins-traitants de la recourante, soit les Drs L__________ (avis des 4 décembre 2009, 4 et 11 mai 2010) et M__________ (avis des 30 août 2010, 26 septembre 2011 et 25 juin 2012) selon lesquels l'état de santé de la recourante est totalement incompatible avec la reprise d'une activité professionnelle et nécessite des soins prodigués notamment dans le cadre d'une hospitalisation de trois jours par semaine à la clinique de Belmont. A cet égard, l'expert, qui n'a pas pris contact avec les médecins-traitants, mentionne néanmoins que la recourante se rend à la clinique de 9h00 à 17h00 les mardis et mercredis et les vendredis jusqu'à midi et, sans remettre en cause la nécessité de ce traitement, n'explique pas comment il serait compatible avec une capacité de travail à 100 % de la recourante. b) Ainsi, au vu des avis divergents de l'expert et des médecins-traitants, il se justifie d'ordonner une expertise judiciaire psychiatrique, laquelle sera confiée au Dr R__________, médecin spécialiste en psychiatrie et psychothérapie, à Lausanne. Enfin, une question h. sera ajoutée à la demande de la recourante pour déterminer si la détection de sa pathologie et la prise en charge médicale de celle-ci ont été retardées.</w:t>
      </w:r>
    </w:p>
    <w:p>
      <w:r>
        <w:t>A/1827/2012 - 11/12 - PAR CES MOTIFS, LA CHAMBRE DES ASSURANCES SOCIALES : Statuant A la forme : 1. Déclare le recours recevable ; Préparatoirement : 2. Ordonne une expertise médicale. La confie au Dr R__________. Dit que la mission d’expertise sera la suivante : a. Prendre connaissance du dossier de la cause. b. Prendre tous renseignements auprès des médecins ayant traité Mme C__________. c. Examiner Mme C__________. d. Etablir un rapport détaillé et répondre aux questions suivantes : e. Quelle est l’anamnèse détaillée du cas ? f. Quelles sont les plaintes de Mme C__________ ? g. Quelle est l’atteinte à la santé dont souffre Mme C__________ (diagnostics avec et sans répercussion sur la capacité de travail, dates d'apparition) ? h. La détection de cette atteinte à la santé et la prise en charge médicale de Mme C__________ sont-elles intervenues tardivement ? Si oui, pour quels motifs ? i. Quel est le status détaillé et l'évolution du status depuis le début de l'atteinte ? j. Mme C__________ suit-elle un traitement adéquat ? k. Quelles sont les limitations fonctionnelles ? l. Compte tenu de vos diagnostics, l’assurée pourrait-elle exercer une activité lucrative ? Si non, pourquoi ? Si oui, laquelle ? A quel taux ? Depuis quelle date ? Quel est votre pronostic quant à l’exigibilité de la reprise d’une activité lucrative ?</w:t>
      </w:r>
    </w:p>
    <w:p>
      <w:r>
        <w:t>A/1827/2012 - 12/12 - En particulier l'ancienne activité est-elle exigible ? Si non, une activité adaptée est- elle possible ? Si non ou dans une mesure restreinte, pour quels motifs ? Quelles sont les limitations fonctionnelles qui entrent en ligne de compte ? m. Etes-vous d'accord avec l'expertise du Dr P__________ du 29 juillet 2011 ? En particulier avec les diagnostics posés et l'estimation d'une capacité de travail à 100 % dans toute activité ? Si non, veuillez indiquer précisément pour quels motifs ? n. Quel est le pronostic ? o. Au vu du dossier, votre réponse aux questions susmentionnées aurait-elle été identique à la date de la décision rendue par l’Office cantonal de l’assurance- invalidité, soit le 16 mai 2012 ? Si non, pourquoi et quelles sont les réponses qui varient ? Si oui, pourquoi ? p. Des mesures de réadaptation professionnelle sont-elles envisageables ? q.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