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ATAS/1195/2011 vom 29. November 2011</w:t>
      </w:r>
    </w:p>
    <w:p>
      <w:r>
        <w:t>GE Cour de justice, 2011-11-29, FR</w:t>
      </w:r>
    </w:p>
    <w:p>
      <w:r>
        <w:rPr>
          <w:b/>
        </w:rPr>
        <w:t xml:space="preserve">Quelle: </w:t>
      </w:r>
      <w:r>
        <w:t>https://mcp.opencaselaw.ch/entscheid/ge_gerichte_ATAS_1195_2011</w:t>
      </w:r>
    </w:p>
    <w:p>
      <w:r>
        <w:t>FR: GE_GERICHTE ATAS/1195/2011 du 29 novembre 2011</w:t>
      </w:r>
    </w:p>
    <w:p>
      <w:r>
        <w:t>IT: GE_GERICHTE ATAS/1195/2011 del 29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datant du 18 août 2010, est postérieure à l'entrée en vigueur de la LPGA ainsi qu'à l'entrée en vigueur, le 1er janvier 2004, des modifications de la LAI (4ème révision) et le 1er janvier 2008, des modifications de la LAI relatives à la 5ème révision. En l'espèce, les faits pertinents remontent à l’année 2006. Par conséquent, du point de vue matériel, le droit à une rente d'invalidité et le début de son versement doivent être examinés au regard des normes en vigueur avant la 5ème révision pour la période du 1er février 2006 au 31 décembre 2007. Toutefois, dès le 1er janvier 2008, l'amélioration de l'état de santé et la suppression de la rente dès le 31 juillet 2008 doivent être examinés en fonction des modifications de la LAI consécutives à la 5ème révision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t>A/3156/2010 - 18/24 -</w:t>
      </w:r>
    </w:p>
    <w:p>
      <w:r>
        <w:rPr>
          <w:b/>
        </w:rPr>
        <w:t>E. 3</w:t>
      </w:r>
    </w:p>
    <w:p>
      <w:r>
        <w:t>Le recours interjeté respectant les forme et délai prévus par la loi (art. 56 à 60 LPGA), sera déclaré recevable.</w:t>
      </w:r>
    </w:p>
    <w:p>
      <w:r>
        <w:rPr>
          <w:b/>
        </w:rPr>
        <w:t>E. 4</w:t>
      </w:r>
    </w:p>
    <w:p>
      <w:r>
        <w:t>Le litige porte sur le maintien du droit à une rente entière pour l'assurée au-delà du 31 juillet 2008.</w:t>
      </w:r>
    </w:p>
    <w:p>
      <w:r>
        <w:rPr>
          <w:b/>
        </w:rPr>
        <w:t>E. 5</w:t>
      </w:r>
    </w:p>
    <w:p>
      <w:r>
        <w:t>Selon l’art. 17 al. 1er LPGA, si le taux d’invalidité du bénéficiaire de la rente subit une modification notable, la rente est, d’office ou sur demande, révisée pour l’avenir, à savoir augmentée ou réduite en conséquence, ou encore supprimée.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w:t>
      </w:r>
    </w:p>
    <w:p>
      <w:r>
        <w:t>A/3156/2010 - 19/24 - que possible (ATF 102 V 165 ; VSI 2001 p. 224 consid. 2b et les références ; cf. aussi ATF 127 V 294 consid. 4c in fine). b)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Depuis le 1er janvier 2008,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reprend la teneur de l'ancien alinéa 1er. c) En vertu de l’art. 48 LAI, dans sa teneur en vigueur du 1er janvier 2003 au 31 décembre 2007, le droit à des prestations arriérées est régi par l’art. 24 al. 1er LPGA (al. 1er). Si l’assuré présente sa demande plus de douze mois après la naissance du droit, les prestations, en dérogation à l’art. 24 al. 1er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En dérogation à l’art. 24 al. 1er LPGA, le Conseil fédéral peut limiter le droit au remboursement de certaines mesures de réadaptation exécutées avant qu’elles n’aient été agréées (al. 3). d)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 on calcule donc le rapport en pour-cent entre ces deux valeurs. La part des travaux habituels constitue le reste du pourcentage (cf. ATF 130 V 393 consid. 3.3 et les références, 104 V 136 consid. 2a).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A/3156/2010 - 20/24 -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w:t>
      </w:r>
    </w:p>
    <w:p>
      <w:r>
        <w:t>A/3156/2010 - 21/24 - p. 28 consid. 4b), la jurisprudence rendue sous l’empire de l’art. 4 aCst. étant toujours valable (ATF 124 V 94 consid. 4b, 122 V 162 consid. 1d).</w:t>
      </w:r>
    </w:p>
    <w:p>
      <w:r>
        <w:rPr>
          <w:b/>
        </w:rPr>
        <w:t>E. 9</w:t>
      </w:r>
    </w:p>
    <w:p>
      <w:r>
        <w:t>En l'espèce, l'expertise judiciaire du Dr H_________ peut se voir reconnaitre pleine valeur probante au sens de la jurisprudence. Son rapport a été établi en pleine connaissance du dossier, sur la base de plusieurs entretiens avec l'intéressée, d'examens psychologiques complémentaires , il prend en considération les plaintes de la patiente ainsi que l'histoire médicale de celle-ci et ses conclusions sont bien motivées et claires. Au demeurant, tant l'assurée que le SMR, pour le compte de l'OAI, admettent cette valeur probante et retiennent en conséquence que l'assurée est totalement incapable de travailler dans toute activité depuis février 2006. Ainsi, il convient de retenir que l'assurée est incapable de travailler à 100% dans son activité de dame de buffet et dans toute activité depuis février 2006, exercée à 50%, ce qui détermine un taux d'invalidité de 50% dès cette date, sans nécessité de procéder à une comparaison des revenus. Le SMR précise que la dégradation de la capacité de travail implique un empêchement conséquent dans la sphère ménagère, laquelle est stable depuis 2006, sans pouvoir affirmer que cet empêchement est total, compte tenu du relatif mieux- être vespéral que l'on rencontre dans les dépressions. L'OAI ne prend aucune conclusion, ni au sujet de l'empêchement ménager, ni au sujet du taux d'invalidité. Le Dr H_________ retient une incapacité de 50% de l'assurée à exercer ses activités ménagères et explique que l'aggravation de l'état psychique dès 2006 a clairement impliqué une diminution de la capacité ménagère. Les atteintes psychiques dont souffre l'assurée impliquent des troubles de la concentration, de l'attention et de la mémoire, mais aussi un ralentissement psychomoteur marqué et une fatigabilité permanente. Ainsi, les diagnostics psychiatriques finalement retenus et les limitations qui en découlent expliquent les empêchements allégués par l'assurée lors de l'enquête du 7 janvier 2009 pour la période postérieure au 1er mai 2008, mais qui n'ont pas été retenus par l'enquêtrice qui s'était alors fondée sur l'avis du Dr S__________, estimant que la dépression était en rémission. Par contre, durant la période allant de mars 2006 à mai 2008, l'enquêtrice retenait d'importants empêchements dans le ménage (53,5%) en partie liés aux hospitalisations, à la fatigue et aux nausées dues à la chimiothérapie mais aussi à la dépression. Or, que l'importante fatigue soit due à une chimiothérapie ou à une dépression n'a pas d'influence sur le fait qu'elle implique un important empêchement dans la sphère ménagère. Il ressort de l'enquête ménagère que l'assurée est "découragée, sans force pour soulever les casseroles, (…)" se contente à midi de réchauffer les restes du repas préparé la veille par son mari, ne fait plus rien dans le ménage, n'a pas repris, après la chimiothérapie, les travaux de lessive que son fils effectue le samedi, a abandonné toutes les activités faites avec les enfants (promenades, piscine, réunion d'école, trajets pour se rendre à l'école), laissant même à son fils ainé le soin de laver les cheveux du cadet, etc. L'empêchement à raison de 53 % tenait compte de l'aide apportée par le mari et le fils ainé, de façon relativement importante. Ainsi, il</w:t>
      </w:r>
    </w:p>
    <w:p>
      <w:r>
        <w:t>A/3156/2010 - 22/24 - faut retenir au degré de la vraisemblance prépondérante que les empêchements liés à l'état psychique, sans changement depuis 2006, peuvent être considérés comme équivalents à ceux admis par l'enquêtrice de mars 2006 à mai 2008, ce qui confirme les conclusions du Dr H_________ qui retient un empêchement de 50%. De même, ce taux est fixé en tenant compte de l'aide conséquente apportée par le mari et le fils ainé, dès lors qu'il ressort de l'anamnèse du Dr H_________ que l'assurée ne parvient à assumer que quelques minimes tâches ménagères: son repas de midi fait de fruits, éplucher les légumes, parfois, faire un peu de ménage léger, rarement. En conséquence, il n'est pas nécessaire d'ordonner une nouvelle enquête ménagère. Il découle de ce qui précède que le taux d'invalidité de l'assurée doit être calculé ainsi:</w:t>
      </w:r>
    </w:p>
    <w:p>
      <w:r>
        <w:t>part</w:t>
      </w:r>
    </w:p>
    <w:p>
      <w:r>
        <w:t>empêchement invalidité - sphère professionnelle: 50%</w:t>
      </w:r>
    </w:p>
    <w:p>
      <w:r>
        <w:t>100%</w:t>
      </w:r>
    </w:p>
    <w:p>
      <w:r>
        <w:t>50% - sphère ménagère:</w:t>
      </w:r>
    </w:p>
    <w:p>
      <w:r>
        <w:t>50%</w:t>
      </w:r>
    </w:p>
    <w:p>
      <w:r>
        <w:t>50%</w:t>
      </w:r>
    </w:p>
    <w:p>
      <w:r>
        <w:t>25% - TOTAL</w:t>
      </w:r>
    </w:p>
    <w:p>
      <w:r>
        <w:t>100%</w:t>
      </w:r>
    </w:p>
    <w:p>
      <w:r>
        <w:t>75% Ainsi, le taux d'invalidité supérieur à 70% donne droit à une rente entière, sans limitation dans le temps, à défaut d'amélioration de l'état de santé et d'amélioration notable de la capacité ménagère au-delà de mai 2008. S'agissant du délai de carence d'un an, il commence à courir dès le 1er février 2006, l'assurée étant totalement incapable de travailler et à 53% incapable d'accomplir ses tâches ménagères dès cette date, de sorte que le droit a la rente est ouvert dès le 1er février 2007, la demande ayant été déposée le 19 octobre 2007, sous l'empire de la LAI en vigueur jusqu'au 31 décembre 2007.</w:t>
      </w:r>
    </w:p>
    <w:p>
      <w:r>
        <w:rPr>
          <w:b/>
        </w:rPr>
        <w:t>E. 10</w:t>
      </w:r>
    </w:p>
    <w:p>
      <w:r>
        <w:t>Le recours est donc admis et la décision du 18 août 2010 est annulée. L'assurée a droit à une rente entière d'invalidité dès le 1er février 2007, sans limite dans le temps.</w:t>
      </w:r>
    </w:p>
    <w:p>
      <w:r>
        <w:rPr>
          <w:b/>
        </w:rPr>
        <w:t>E. 11</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A/3156/2010 - 23/24 - Un émolument de 500 fr. sera ainsi mis à la charge de l'intimé qui succombe (art. 69 al. 1bis LAI) ainsi qu'une indemnité de 3'000 fr. en faveur de la recourante, au vu du nombre d'écritures et d'audiences.</w:t>
      </w:r>
    </w:p>
    <w:p>
      <w:r>
        <w:t>A/3156/2010 - 24/24 -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