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ATAS/1194/2014 vom 19. September 2014</w:t>
      </w:r>
    </w:p>
    <w:p>
      <w:r>
        <w:t>GE Cour de justice, 2014-09-19, FR</w:t>
      </w:r>
    </w:p>
    <w:p>
      <w:r>
        <w:rPr>
          <w:b/>
        </w:rPr>
        <w:t xml:space="preserve">Quelle: </w:t>
      </w:r>
      <w:r>
        <w:t>https://mcp.opencaselaw.ch/entscheid/ge_gerichte_ATAS_1194_2014</w:t>
      </w:r>
    </w:p>
    <w:p>
      <w:r>
        <w:t>FR: GE_GERICHTE ATAS/1194/2014 du 19 septembre 2014</w:t>
      </w:r>
    </w:p>
    <w:p>
      <w:r>
        <w:t>IT: GE_GERICHTE ATAS/1194/2014 del 19 settembre 2014</w:t>
      </w:r>
    </w:p>
    <w:p>
      <w:pPr>
        <w:pStyle w:val="Heading2"/>
      </w:pPr>
      <w:r>
        <w:t>Erwägungen</w:t>
      </w:r>
    </w:p>
    <w:p>
      <w:r>
        <w:rPr>
          <w:b/>
        </w:rPr>
        <w:t>E. 1</w:t>
      </w:r>
    </w:p>
    <w:p>
      <w:r>
        <w:t>La compétence de la Cour de céans et la recevabilité du recours ont d’ores et déjà été examinées dans l’ordonnance du 16 janvier 2013.</w:t>
      </w:r>
    </w:p>
    <w:p>
      <w:r>
        <w:rPr>
          <w:b/>
        </w:rPr>
        <w:t>E. 2</w:t>
      </w:r>
    </w:p>
    <w:p>
      <w:r>
        <w:t>Le recours porte sur le droit du recourant au versement d’indemnités journalières fondées sur la loi sur l’assurance-accidents (LAA ; RS 832.20) et à la prise en charge du traitement médical. Il y a lieu de rappeler que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L’objet de la contestation est le rapport juridique visé par la décision (arrêt du Tribunal fédéral 9C_598/2011 du 19 avril 2012 consid. 3.1). Les conclusions du 6 février 2014 recourant tendant au versement d’indemnités découlant de l’assurance complémentaire et d’une indemnité pour atteinte à l’intégrité sont par conséquent irrecevables, dès lors que ces éléments ne font pas l’objet de la décision querellée.</w:t>
      </w:r>
    </w:p>
    <w:p>
      <w:r>
        <w:t>A/1620/2011 - 37/44 -</w:t>
      </w:r>
    </w:p>
    <w:p>
      <w:r>
        <w:rPr>
          <w:b/>
        </w:rPr>
        <w:t>E. 3</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w:t>
      </w:r>
    </w:p>
    <w:p>
      <w:r>
        <w:rPr>
          <w:b/>
        </w:rPr>
        <w:t>E. 4</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w:t>
      </w:r>
    </w:p>
    <w:p>
      <w:r>
        <w:rPr>
          <w:b/>
        </w:rPr>
        <w:t>E. 5</w:t>
      </w:r>
    </w:p>
    <w:p>
      <w:r>
        <w:t>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"une sensible amélioration de l'état de l'assuré".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"sensible"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w:t>
      </w:r>
    </w:p>
    <w:p>
      <w:r>
        <w:t>A/1620/2011 - 38/44 -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(ATF 129 V 177 consid. 3.1 ; arrêt du Tribunal fédéral 8C_262/2008 du 11 février 2009 consid. 2.1)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(arrêt du Tribunal fédéral 8C_535/2008 du 2 février 2009 consid. 2.3).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8C_463/2009 du 23 novembre 2009 consid. 3).</w:t>
      </w:r>
    </w:p>
    <w:p>
      <w:r>
        <w:rPr>
          <w:b/>
        </w:rPr>
        <w:t>E. 7</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de l’ordonnance sur l’assurance-accidents [OLAA ; RS 832.202]). A cet égard, la jurisprudence considère que plus le temps écoulé entre l'accident et la manifestation de l'affection est long, et plus les exigences quant à la preuve, au degré de la vraisemblance prépondérante, du rapport de causalité naturelle doivent être sévères (arrêt du Tribunal fédéral 8C_535/2008 du 2 février 2009 consid. 2.1).</w:t>
      </w:r>
    </w:p>
    <w:p>
      <w:r>
        <w:rPr>
          <w:b/>
        </w:rPr>
        <w:t>E. 8</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w:t>
      </w:r>
    </w:p>
    <w:p>
      <w:r>
        <w:t>A/1620/2011 - 39/44 -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w:t>
      </w:r>
    </w:p>
    <w:p>
      <w:r>
        <w:t>A/1620/2011 - 40/44 - pour remettre en cause les conclusions de l'expert (arrêt du Tribunal fédéral 9C_405/2008 du 29 septembre 2008 consid. 3.2).</w:t>
      </w:r>
    </w:p>
    <w:p>
      <w:r>
        <w:rPr>
          <w:b/>
        </w:rPr>
        <w:t>E. 9</w:t>
      </w:r>
    </w:p>
    <w:p>
      <w:r>
        <w:t>En l’espèce, la Cour de céans a déjà exposé pour quels motifs les expertises du Dr H______ et les rapports du Dr V_____ ne pouvaient se voir reconnaître une pleine valeur probante dans son expertise du 16 janvier 2013. Il reste à déterminer si le rapport des Drs Z_____ et R______ répond aux critères développés par le Tribunal fédéral. S’agissant du rapport du radiologue du 30 mai 2013, il est relativement bref et ne comprend qu’une description de certains éléments d’imagerie. Cela étant, il répond dans l’ensemble aux questions qui ont fait l’objet de l’ordonnance d’expertise. De plus, le Dr R______ a collaboré à l’établissement du rapport transmis à la Cour de céans par le Dr Z_____ le 6 janvier 2014. Or, ce dernier document satisfait tous les réquisits jurisprudentiels. L’expert orthopédiste a en effet pris connaissance du dossier médical du recourant, qu’il a résumé et complété par une anamnèse, il l’a interrogé sur ses plaintes et a procédé à un examen clinique. Les diagnostics et les conclusions, clairs et motivés, s’appuient notamment sur la collaboration du chirurgien avec l’expert radiologue et sur leur analyse des documents radiologiques. Ils sont étayés par des explications convaincantes et des références à la littérature. Partant, la Cour de céans se ralliera aux conclusions du Dr Z_____, aux termes desquelles les lésions découvertes lors de l’IRM du 30 juin 2010 et ayant conduit à l’intervention du Dr V_____ sont consécutives à l’accident du 4 juillet 2007, dont l’événement du 19 mai 2010 constituait une rechute. Il est vrai que les experts judiciaires ont souligné que l’absence de clichés radiologiques antérieurs à 1997 ne permettait pas d’objectiver une lésion ligamentaire nette. C’est cependant également en se fondant sur les conclusions prises en 1993 par la SUVA et sur l’anamnèse qu’ils ont exclu que cette lésion soit survenue à cette époque. De plus,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Le défaut de preuve va au détriment de la partie qui entendait tirer un droit du fait non prouvé (ATF 126 V 319 consid. 5a; arrêt du Tribunal fédéral des assurances I 339/03 du 19 novembre 2003 consid. 2). Eu égard à ce principe, l’intimée supporte les conséquences de l’absence des anciens clichés radiologiques.</w:t>
      </w:r>
    </w:p>
    <w:p>
      <w:r>
        <w:t>A/1620/2011 - 41/44 - Il n’existe pas non plus de motif de s’écarter des conclusions du Dr Z_____ relatives à la capacité de travail du recourant. En ce qui concerne la période durant laquelle le versement d’indemnités journalières reste litigieux, soit dès le 1er décembre 2009, l’expert orthopédiste a noté que la reprise de la capacité de travail était exigible dix-huit mois après l’intervention du 8 septembre 2008, soit dès le 9 février 2010. On relèvera en effet que l’activité de vendeur de voitures d’occasion n’exige pas de déplacements sur terrain accidenté ou de travail sur des échafaudages, soit les limitations fonctionnelles retenues par l’expert. L’expert n’a pas retenu d’incapacité de travail en lien avec la rechute du 19 mai 2010 – qui n’a d’ailleurs selon l’écriture du 30 mai 2011 du recourant même pas entraîné d’aggravation durable des douleurs. Sur ce point, il a clairement indiqué sur quels motifs objectifs il se fondait dans son complément d’expertise du 25 juillet 2014, et ses explications emportent la conviction. Par la suite, la capacité de travail a à nouveau été nulle pendant six semaines dès l’arthroscopie pratiquée le 19 octobre 2011 par le Dr V_____, soit jusqu’au 30 novembre 2011. S’agissant de l’appréciation par l’expert de la capacité de travail après l’intervention chirurgicale, elle est au demeurant corroborée par les déclarations du recourant, qui a affirmé lors de l’audience du 26 octobre 2011 qu’il pouvait désormais dormir et marcher normalement. Le dernier certificat du Dr V_____, établi le 15 août 2014, ne permet pas de s’écarter des conclusions de l’expert. Il se borne en effet à indiquer que l’incapacité de travail est justifiée par l’évolution du recourant depuis l’accident, ce qui ne constitue à l’évidence pas une motivation suffisante. L’incidence que le Dr V_____ prête au traitement de morphine ne convainc pas non plus. En premier lieu, on ne peut suivre ce médecin lorsqu’il affirme que le recourant était juridiquement incapable d’établir ou de conclure des contrats en raison des effets du traitement. Une telle assertion revient en effet à considérer que le recourant était incapable de discernement au sens des art. 18 et suivants du code civil (CC ; RS 210). Or, dans un tel cas, le recourant aurait dû bénéficier d’une mesure de protection de l’adulte conformément aux art. 360ss CC, ce qui n’est pas le cas. S’agissant de la conduite de voitures, il est vrai que la Dresse F______ avait fait état de difficultés à conduire dans ses rapports du 17 février 2009 et du 18 décembre 2009. L’incapacité de travail n’est cependant pas contestée à cette date, de sorte que ce seul élément ne suffit pas à corroborer l’allégation du Dr V_____. Il ne ressort en particulier ni des expertises du Dr H______ et du Dr Z_____ ni des autres rapports médicaux que le recourant se serait plaint de ne plus pouvoir conduire, et il n’a jamais rapporté de telles difficultés dans ses écritures ou lors de son audition par la Cour de céans. On relèvera enfin que dans la description que le recourant a faite le 6 août 2010 de l’événement du 19 mai 2010, il a précisé qu’il marchait sur la rampe en sortant du parking. Compte tenu de cette déclaration, il n’est pas déraisonnable d’admettre qu’il conduisait encore à cette époque, ce qui contredirait les indications du Dr V_____.</w:t>
      </w:r>
    </w:p>
    <w:p>
      <w:r>
        <w:t>A/1620/2011 - 42/44 - L’intimée devra dès lors verser des indemnités journalières pendant les périodes d’incapacité de travail définies par le Dr Z_____. Le recourant a également droit à la prise en charge du traitement médical en lien avec l’accident jusqu’à la stabilisation de l’état de sa cheville, également intervenue le 30 novembre 2011.</w:t>
      </w:r>
    </w:p>
    <w:p>
      <w:r>
        <w:rPr>
          <w:b/>
        </w:rPr>
        <w:t>E. 10</w:t>
      </w:r>
    </w:p>
    <w:p>
      <w:r>
        <w:t>Le recourant a conclu au versement d’intérêts moratoires sur les indemnités journalières. Aux termes de l’art. 26 al. 2 de la loi sur la partie générale du droit des assurances sociales (LPGA ; RS 830.1),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L'obligation de verser des intérêts moratoires est liée à l'existence d'une prestation principale et a, par conséquent, un caractère accessoire (ATF 119 V 233 consid. 4). Puisque les autres conditions énumérées à l’art. 26 al. 2 LPGA doivent être remplies, le droit à des intérêts moratoires doit être qualifié de relation juridique spécifique. Sous réserve d’une expansion de l’objet de la contestation, elle ne peut être examinée dans la procédure de recours de première instance que si l’administration a statué sur cette question (objet de la contestation) et que sa décision a été attaquée sur ce point (arrêt du Tribunal fédéral des assurances I 73/05 du 13 septembre 2006, consid. 7.1). En l'espèce, bien que l'intimée n'ait pas statué sur ce point, il y a lieu d'étendre l'objet de la contestation à cette question par économie de procédure. Comme cela découle de la loi, une des conditions au versement d’intérêts moratoires est que l’assuré ait satisfait à son obligation de collaborer, ancrée à l’art. 43 LPGA. L’alinéa troisième de cette disposition prévoit que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L’obligation de collaborer implique notamment que l’assuré donne des renseignements conformes à la vérité. Or, le recourant a en l’espèce caché à l’intimée le fait qu’il avait déjà subi un accident à la cheville par le passé, pour lequel il avait perçu des prestations de l’appelée en cause. Eu égard à l’importance du traitement et à la durée de la procédure ayant opposé le recourant à l’appelée en cause à l’époque, il n’est guère vraisemblable que celui-ci ait pu oublier cet événement. On ne peut dès lors admettre qu’il s’est plié à son obligation de collaborer, ce qui exclut le droit à des intérêts moratoires conformément à la loi.</w:t>
      </w:r>
    </w:p>
    <w:p>
      <w:r>
        <w:t>A/1620/2011 - 43/44 -</w:t>
      </w:r>
    </w:p>
    <w:p>
      <w:r>
        <w:rPr>
          <w:b/>
        </w:rPr>
        <w:t>E. 11</w:t>
      </w:r>
    </w:p>
    <w:p>
      <w:r>
        <w:t>Eu égard à ce qui précède, le recours est partiellement admis. Aux termes de l'art. 61 let. g LPGA, le recourant qui obtient gain de cause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alors que la fixation du montant de l'indemnité de dépens ressortit au droit cantonal (arrêt du Tribunal fédéral 9C_827/2011du 13 juin 2012 consid. 5). En l’espèce, le recourant n’obtenant que très partiellement gain de cause, les dépens seront fixés à CHF 1'500.- (cf. art. 6 RFPA). Pour le surplus, la procédure est gratuite (art. 61 let. a LPGA).</w:t>
      </w:r>
    </w:p>
    <w:p>
      <w:r>
        <w:t>A/1620/2011 - 44/44 -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