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ATAS/1192/2022 vom 23. Dezember 2022</w:t>
      </w:r>
    </w:p>
    <w:p>
      <w:r>
        <w:t>GE Cour de justice, 2022-12-23, FR</w:t>
      </w:r>
    </w:p>
    <w:p>
      <w:r>
        <w:rPr>
          <w:b/>
        </w:rPr>
        <w:t xml:space="preserve">Quelle: </w:t>
      </w:r>
      <w:r>
        <w:t>https://mcp.opencaselaw.ch/entscheid/ge_gerichte_ATAS_1192_2022</w:t>
      </w:r>
    </w:p>
    <w:p>
      <w:r>
        <w:t>FR: GE_GERICHTE ATAS/1192/2022 du 23 décembre 2022</w:t>
      </w:r>
    </w:p>
    <w:p>
      <w:r>
        <w:t>IT: GE_GERICHTE ATAS/1192/2022 del 23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w:t>
      </w:r>
    </w:p>
    <w:p>
      <w:r>
        <w:rPr>
          <w:b/>
        </w:rPr>
        <w:t>E. 3.1</w:t>
      </w:r>
    </w:p>
    <w:p>
      <w:r>
        <w:t>Le 1er janvier 2021 est entrée en vigueur la modification du 21 juin 2019 de la LPGA. Dans la mesure où le recours (du 6 octobre 2021) a été interjeté postérieurement au 1er janvier 2021, il est soumis au nouveau droit (cf. art. 82a LPGA a contrario). Dans le cadre de la réforme de la LPC, entrée en vigueur le 1er janvier 2021, de nombreuses dispositions ont été modifiées (FF 2016 7249 ; RO 2020 585).</w:t>
      </w:r>
    </w:p>
    <w:p>
      <w:r>
        <w:rPr>
          <w:b/>
        </w:rPr>
        <w:t>E. 3.2</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l'al. 1 des dispositions transitoires de la modification du 22 mars 2019 (réforme des prestations complémentaires), l’ancien droit reste applicable pendant trois ans à compter de l’entrée en vigueur de la présente modification aux bénéficiaires de prestations complémentaires pour lesquels la réforme des</w:t>
      </w:r>
    </w:p>
    <w:p>
      <w:r>
        <w:t>A/1993/2022 - 4/7 - prestations complémentaires entraîne, dans son ensemble, une diminution de la prestation complémentaire annuelle ou la perte du droit à celle-ci.</w:t>
      </w:r>
    </w:p>
    <w:p>
      <w:r>
        <w:rPr>
          <w:b/>
        </w:rPr>
        <w:t>E. 3.3</w:t>
      </w:r>
    </w:p>
    <w:p>
      <w:r>
        <w:t>Dès lors que le recourant n’était pas bénéficiaire de prestations complémentaires au 1er janvier 2021 et qu’il a déposé sa demande postérieurement à cette date, le présent litige est soumis au nouveau droit. Les dispositions légales seront donc citées, ci-après, dans leur teneur en vigueur dès le 1er janvier 2021.</w:t>
      </w:r>
    </w:p>
    <w:p>
      <w:r>
        <w:rPr>
          <w:b/>
        </w:rPr>
        <w:t>E. 4</w:t>
      </w:r>
    </w:p>
    <w:p>
      <w:r>
        <w:t>Le délai de recours est de trente jours (art. 60 al. 1 LPGA ; art. 62 al. 1 let. a LPA). Interjeté dans les forme (art. 61 let. b LPGA) et délai légaux, le recours est recevable.</w:t>
      </w:r>
    </w:p>
    <w:p>
      <w:r>
        <w:rPr>
          <w:b/>
        </w:rPr>
        <w:t>E. 5</w:t>
      </w:r>
    </w:p>
    <w:p>
      <w:r>
        <w:t>Le litige porte sur le point de savoir si le recourant a droit à des prestations complémentaires, singulièrement s’il doit être fait abstraction d’une partie de sa fortune pour établir son éventuel droit à des prestations complémentaires.</w:t>
      </w:r>
    </w:p>
    <w:p>
      <w:r>
        <w:rPr>
          <w:b/>
        </w:rPr>
        <w:t>E. 6</w:t>
      </w:r>
    </w:p>
    <w:p>
      <w:r>
        <w:t>En vertu de l'art. 9a al. 1 let. a LPC, les personnes seules dont la fortune nette est inférieure au seuil de CHF 100'000.- ont droit à des prestations complémentaires.</w:t>
      </w:r>
    </w:p>
    <w:p>
      <w:r>
        <w:rPr>
          <w:b/>
        </w:rPr>
        <w:t>E. 7</w:t>
      </w:r>
    </w:p>
    <w:p>
      <w:r>
        <w:t>Selon l’art. 11a al. 2 LPC, les revenus, parts de fortune et droits légaux ou contractuels auxquels l’ayant droit a renoncé sans obligation légale et sans contre-prestation adéquate sont pris en compte dans les revenus déterminants comme s’il n’y avait pas renoncé.</w:t>
      </w:r>
    </w:p>
    <w:p>
      <w:r>
        <w:rPr>
          <w:b/>
        </w:rPr>
        <w:t>E. 8</w:t>
      </w:r>
    </w:p>
    <w:p>
      <w:r>
        <w:t>Selon l’art. 17b let. a de l'ordonnance sur les prestations complémentaires à l’assurance-vieillesse, survivants et invalidité du 15 janvier 1971 (OPC-AVS/AI - RS 831.301), il y a dessaisissement de fortune, notamment, lorsqu’une personne aliène des parts de fortune sans obligation légale et que la contre-prestation n’atteint pas, au moins, 90% de la valeur de la prestation.</w:t>
      </w:r>
    </w:p>
    <w:p>
      <w:r>
        <w:rPr>
          <w:b/>
        </w:rPr>
        <w:t>E. 9.1</w:t>
      </w:r>
    </w:p>
    <w:p>
      <w:r>
        <w:t>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(ATF 131 V 329 consid. 4.4).</w:t>
      </w:r>
    </w:p>
    <w:p>
      <w:r>
        <w:rPr>
          <w:b/>
        </w:rPr>
        <w:t>E. 9.2</w:t>
      </w:r>
    </w:p>
    <w:p>
      <w:r>
        <w:t>Le moment déterminant pour établir la valeur des parts de fortune dessaisies et de la contre-prestation éventuelle est celui du dessaisissement (OFAS, Directives concernant les prestations complémentaires à l'AVS et à l'AI - DPC, état au 1er janvier 2022, ch. 3532.04; ATF 120 V 182 consid. 4b; arrêt du Tribunal fédéral 9C_67/2011 du 29 août 2011 consid. 5.1).</w:t>
      </w:r>
    </w:p>
    <w:p>
      <w:r>
        <w:rPr>
          <w:b/>
        </w:rPr>
        <w:t>E. 9.3</w:t>
      </w:r>
    </w:p>
    <w:p>
      <w:r>
        <w:t>L'art. 11a al. 2 LPC contient une définition claire de la notion de dessaisissement qui faisait défaut dans le cadre de l'art. 11 al. 1 let. g aLPC, sans qu'il ne modifie toutefois la pratique en matière de renonciation à des ressources ou de dessaisissement de fortune. En particulier, une contre-prestation est considérée comme adéquate si elle atteint au moins 90% de la valeur de la</w:t>
      </w:r>
    </w:p>
    <w:p>
      <w:r>
        <w:t>A/1993/2022 - 5/7 -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w:t>
      </w:r>
    </w:p>
    <w:p>
      <w:r>
        <w:rPr>
          <w:b/>
        </w:rPr>
        <w:t>E. 9.4</w:t>
      </w:r>
    </w:p>
    <w:p>
      <w:r>
        <w:t>Lorsque la fortune diminue de façon substantielle sans que le bénéficiaire des prestations complémentaires puisse prouver l’utilisation qu’il en a faite, on suppose, en principe, qu’il y a dessaisissement (DPC ch. 3532.09).</w:t>
      </w:r>
    </w:p>
    <w:p>
      <w:r>
        <w:rPr>
          <w:b/>
        </w:rPr>
        <w:t>E. 10.1</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10.2</w:t>
      </w:r>
    </w:p>
    <w:p>
      <w:r>
        <w:t>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11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w:t>
      </w:r>
    </w:p>
    <w:p>
      <w:r>
        <w:t>A/1993/2022 - 6/7 - et les références). Il n'existe pas, en droit des assurances sociales, un principe selon lequel l'administration ou le juge devrait statuer, dans le doute, en faveur de l'assuré (ATF 126 V 319 consid. 5a et la référence).</w:t>
      </w:r>
    </w:p>
    <w:p>
      <w:r>
        <w:rPr>
          <w:b/>
        </w:rPr>
        <w:t>E. 12</w:t>
      </w:r>
    </w:p>
    <w:p>
      <w:r>
        <w:t>En l'occurrence, le recourant allègue qu’en raison des troubles psychiques dont il est victime, il aurait dépensé des sommes folles dont il n’y aurait pas lieu de tenir compte dans le calcul des prestations. À l’appui de ses allégations, il a communiqué à la chambre de céans la copie du courrier du Dr B______, daté du 30 mars 2021. Ce dernier mentionne que le recourant lui a décrit avoir des difficultés à s’occuper de ses tâches administratives et avoir effectué des achats et des cadeaux qui auraient largement dépassé son budget. Néanmoins, une addiction aux jeux, une éventuelle prodigalité ou une incapacité de discernement n’est pas objectivée ni mentionnée dans les limitations fonctionnelles incapacitantes. Il s’ensuit que l’on ne peut guère considérer qu’il est établi objectivement et au degré de la vraisemblance prépondérante que le recourant a dépensé une partie de sa fortune en raison de ses troubles psychiques. De surcroit, le recourant n’a soumis aucune pièce permettant d’établir la contre-prestation de ses dépenses. Même si c’était le cas, les pièces au dossier démontrent qu’au moment du dépôt de sa demande de prestations complémentaires, le recourant avait une fortune qui dépassait encore largement les seuils fixés par la LPC. En effet, il ressort des calculs effectués par le SPC et dont le recourant lui-même admet l’exactitude, que ce dernier est titulaire d’une fortune bien supérieure au seuil de CHF 100'000.- fixé par l’art. 9a al. 1 let. a LPC, ce qui lui ferme le droit à des prestations complémentaires.</w:t>
      </w:r>
    </w:p>
    <w:p>
      <w:r>
        <w:rPr>
          <w:b/>
        </w:rPr>
        <w:t>E. 13</w:t>
      </w:r>
    </w:p>
    <w:p>
      <w:r>
        <w:t>Dès lors, la chambre de céans ne peut que constater que la décision querellée est bien fondée et que le recours doit être rejeté.</w:t>
      </w:r>
    </w:p>
    <w:p>
      <w:r>
        <w:rPr>
          <w:b/>
        </w:rPr>
        <w:t>E. 14</w:t>
      </w:r>
    </w:p>
    <w:p>
      <w:r>
        <w:t>Pour le surplus, la procédure est gratuite (art. 61 let. fbis LPGA a contrario).</w:t>
      </w:r>
    </w:p>
    <w:p>
      <w:r>
        <w:t>A/1993/2022 - 7/7 -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