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ATAS/1192/2021 vom 24. November 2021</w:t>
      </w:r>
    </w:p>
    <w:p>
      <w:r>
        <w:t>GE Cour de justice, 2021-11-24, FR</w:t>
      </w:r>
    </w:p>
    <w:p>
      <w:r>
        <w:rPr>
          <w:b/>
        </w:rPr>
        <w:t xml:space="preserve">Quelle: </w:t>
      </w:r>
      <w:r>
        <w:t>https://mcp.opencaselaw.ch/entscheid/ge_gerichte_ATAS_1192_2021</w:t>
      </w:r>
    </w:p>
    <w:p>
      <w:r>
        <w:t>FR: GE_GERICHTE ATAS/1192/2021 du 24 novembre 2021</w:t>
      </w:r>
    </w:p>
    <w:p>
      <w:r>
        <w:t>IT: GE_GERICHTE ATAS/1192/2021 del 24 novembre 2021</w:t>
      </w:r>
    </w:p>
    <w:p>
      <w:pPr>
        <w:pStyle w:val="Heading2"/>
      </w:pPr>
      <w:r>
        <w:t>Erwägungen</w:t>
      </w:r>
    </w:p>
    <w:p>
      <w:r>
        <w:rPr>
          <w:b/>
        </w:rPr>
        <w:t>E. 1</w:t>
      </w:r>
    </w:p>
    <w:p>
      <w:r>
        <w:t>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recours a été interjeté en temps utile (art. 60 al. 1 LPGA), dans le respect des exigences de forme et de contenu posées par la loi (art. 61 let. b LPGA ; cf. aussi art. 89B de la loi sur la procédure administrative du 12 septembre 1985 - LPA - E</w:t>
      </w:r>
    </w:p>
    <w:p>
      <w:r>
        <w:rPr>
          <w:b/>
        </w:rPr>
        <w:t>E. 5</w:t>
      </w:r>
    </w:p>
    <w:p>
      <w:r>
        <w:t>10 LPA). Touchée par la décision attaquée et ayant un intérêt digne de protection à son annulation ou sa modification, la recourante a qualité pour recourir (art. 59 LPGA ; art. 60 al. 1 let. a et b et 89A LPA). Le recours est donc recevable.</w:t>
      </w:r>
    </w:p>
    <w:p>
      <w:r>
        <w:t>A/1822/2020 - 7/11 - 2. Le 1er janvier 2021 est entrée en vigueur la modification du 21 juin 2019 de la LPGA. Le recours reste cependant soumis à l'ancien droit, dès lors qu'il était pendant devant la chambre de céans au 1er janvier 2021 (cf. art. 82a LPGA ; RO 2020 5137 ; FF 2018 1597 ; erratum de la CdR de l’Ass.féd. du 19 mai 2021, publié le 18 juin 2021 in RO 2021 358). 3. 3.1. Selon l'art. 17 al. 1 LPGA, si le taux d'invalidité du bénéficiaire de la rente subit une modification notable, la rente est, d'office ou sur demande, révisée pour l'avenir, à savoir augmentée ou réduite en conséquence, ou encore supprimée. La modification pro futuro d'une décision limitant dans le temps le droit à une rente d'invalidité est soumise à la même condition d'une modification notable du taux d'invalidité. Il en va de même en cas de nouvelle demande d'une rente d'invalidité après l'échéance de la rente d'invalidité précédemment allouée de façon limitée dans le temps. L'art. 87 RAI le précise en stipulant, à son al. 2, que lorsqu'une demande de révision est déposée, celle-ci doit établir de façon plausible que l'invalidité, l'impotence ou l'étendue du besoin de soins ou du besoin d'aide découlant de l'invalidité de l'assuré s'est modifiée de manière à influencer ses droits, et, à son al. 3,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w:t>
      </w:r>
    </w:p>
    <w:p>
      <w:r>
        <w:t>3.2. Comme la chambre de céans l'a rappelé encore récemment (ATAS/1067/2021 du 20 octobre 2021 consid. 4),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w:t>
      </w:r>
    </w:p>
    <w:p>
      <w:r>
        <w:t>A/1822/2020 - 8/11 - décision antérieure est bref. Elle jouit sur ce point d'un certain pouvoir d'appréciation, que le juge doit en principe respecter.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 arrêt du Tribunal fédéral 9C_412/2010 du 22 février 2011 consid. 3 ; Ulrich MEYER/ Marco REICHMUTH, Bundesgesetz über die Invalidenversicherung (IVG), in STAUFFER / CARDINAUX [éd.], Rechtsprechung des Bundesgerichts zum Sozialversicherungsrecht, 3ème éd., 2014, n. 139 ad art. 30-31 LAI). 3.3.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L’examen du juge se limite donc au point de savoir si les pièces déposées en procédure administrative justifient ou non la reprise de l'instruction du dossier (arrêt du Tribunal fédéral 9C_789/2012 du 27 juillet 2013 consid. 4.1).</w:t>
      </w:r>
    </w:p>
    <w:p>
      <w:r>
        <w:t>A/1822/2020 - 9/11 - 3.4.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 4. 4.1. La décision attaquée est un refus d'entrer en matière sur la nouvelle demande de prestations formée le 18 septembre 2019 par la recourante. L'intimé l'a adressée à cette dernière le 28 mai 2020, après lui en avoir envoyé le projet, appelé préavis (art. 57a LAI), le 12 décembre 2019. Cet envoi-ci faisait partir un délai de trente jours durant lequel la recourante pouvait faire part de ses observations (art. 57a al. 3 LAI). Ce délai est un délai d'ordre, qu'il appartient à l'intimé de prolonger lorsque l'assuré en fait la demande en temps utile pour des motifs fondés (Michel VALTERIO, Commentaire de la loi fédérale sur l'assurance-invalidité, 2018, n. 8 ad art. 57a).</w:t>
      </w:r>
    </w:p>
    <w:p>
      <w:r>
        <w:t>4.2. En l'espèce, l'intimé a, à bon droit, accepté de prolonger ce délai, sur demande de la recourante, non sans lui dire, à teneur des notes d'entretiens téléphoniques figurant au dossier, qu'il serait amené à rendre à court terme une décision de non-entrée en matière à défaut de production d'éléments médicaux rendant plausible une aggravation notable de son état de santé depuis que sa précédente décision avait été rendue. Les mesures dictées par la pandémie de coronavirus ont comporté une suspension, du 21 mars au 19 avril 2020, des délais légaux et des délais fixés par les autorités ou par les tribunaux en vertu du droit fédéral ou cantonal de procédure, à teneur d'une ordonnance du Conseil fédéral du 20 mars 2020 sur la suspension des délais dans les procédures civiles et administratives pour assurer le maintien de la justice en lien avec le coronavirus (COVID-19), dont l'intimé a admis – comme cela résulte de sa note de travail du 31 mars 2020 – qu'elle impliquait qu'il ne rende pas en l'occurrence sa décision avant le 5 mai 2020. 4.3. Cette note de travail est une note interne, restée non communiquée à la recourante (avant que ses avocates n'obtiennent une copie du dossier de l'OAI pour former recours contre le refus d'entrer en matière du 28 mai 2020). Des notes d'entretiens téléphoniques figurant au dossier ne résulte par ailleurs pas que l'intimé aurait, depuis qu'il avait accepté de prolonger le délai d'ordre de trente jours fixé par son préavis du 12 décembre 2019, averti formellement la recourante d'une date précise à partir de laquelle il rendrait la décision attaquée, en particulier compte tenu des circonstances liées à la pandémie de coronavirus.</w:t>
      </w:r>
    </w:p>
    <w:p>
      <w:r>
        <w:t>A/1822/2020 - 10/11 - Or, l'intimé devait appliquer par analogie l'art. 43 al. 3 LPGA, dont il résulte que – nonobstant toute la compréhension dont il avait fait preuve lors des contacts qu'il avait eus avec la recourante en janvier et février 2020 – il devait adresser à cette dernière une mise en demeure écrite l'avertissant d'une échéance précise du délai dans lequel il lui était encore loisible de produire des éléments médicaux circonstanciés dont il pourrait tenir compte pour, le cas échéant, ne pas lui notifier un refus d'entrer en matière. Il s'agissait là d'une règle de procédure ne souffrant aucune exception (Ueli KIESER, Kommentar zum Bundesgesetz über den Allgemeinen Teil des Sozialversicherungsrechts ATSG, 4ème éd., 2020, n. 104 ad art. 43 ; Jacques SAUNIER, Olivier PIGUET, in Commentaire romand de la loi sur la partie générale des assurances sociales, éd. par Anne-Sylvie DUPONT / Margit MOSET-SZELESS, 2018, n. 57 ad art. 43). L'intimé ne l'a pas fait, et il ne résulte pas non plus du dossier qu'il l'aurait fait en s'adressant au médecin de la recourante, le Dr G______, de surcroît alors qu'il avait des indices que celui-ci ne paraissait pas agir de façon conforme aux intérêts de la recourante. 4.4. Il faut en déduire que le droit d'être entendu de la recourante n'a pas été respecté. 4.5. Il s'ensuit en l'occurrence que le rapport médical circonstancié du Dr H______ produit à l'appui du recours devait et doit être pris en compte pour déterminer si la recourante a rendu plausible que son état de santé s'est aggravé notablement depuis que l'intimé a rendu sa décision du 5 février 2016. Comme l'intimé s'est refusé à le faire dans le cadre de la présente procédure, force est d'annuler la décision attaquée et de lui renvoyer la cause pour qu'il examine cette question, y compris à la lumière des pièces complémentaires ayant été versées dans l'intervalle au dossier, et, à moins qu'il ait de bons motifs d'y répondre par la négative, pour qu'il instruise la demande de prestations formée le 18 septembre 2019 par la recourante.</w:t>
      </w:r>
    </w:p>
    <w:p>
      <w:r>
        <w:rPr>
          <w:b/>
        </w:rPr>
        <w:t>E. 5.1</w:t>
      </w:r>
    </w:p>
    <w:p>
      <w:r>
        <w:t>Le recours sera donc admis partiellement, et la cause renvoyée à l'intimé au sens des considérants.</w:t>
      </w:r>
    </w:p>
    <w:p>
      <w:r>
        <w:rPr>
          <w:b/>
        </w:rPr>
        <w:t>E. 5.2</w:t>
      </w:r>
    </w:p>
    <w:p>
      <w:r>
        <w:t>La procédure n'est pas gratuite en matière de contestation portant sur l'octroi ou le refus de prestations de l'AI devant le tribunal cantonal des assurances (art. 69 al. 1bis LAI), en dérogation à l'art. 61 let. a LPGA (dans sa version ici applicable). Aussi un émolument de CHF 200.- sera-t-il mis à la charge de l'intimé.</w:t>
      </w:r>
    </w:p>
    <w:p>
      <w:r>
        <w:rPr>
          <w:b/>
        </w:rPr>
        <w:t>E. 5.3</w:t>
      </w:r>
    </w:p>
    <w:p>
      <w:r>
        <w:t>La recourante obtenant partiellement gain de cause, et étant représentée par deux avocates, il doit lui être alloué une indemnité de procédure, qui sera arrêtée à CHF 1'000.- (art. 6 du règlement sur les frais, émoluments et indemnités en procédure administrative du 30 juillet 1986 - RFPA - E 5 10.03) et mise à la charge de l'intimé.</w:t>
      </w:r>
    </w:p>
    <w:p>
      <w:r>
        <w:t>A/1822/2020 - 11/11 -</w:t>
      </w:r>
    </w:p>
    <w:p>
      <w:r>
        <w:t>*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