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ATAS/1192/2018 vom 19. Dezember 2018</w:t>
      </w:r>
    </w:p>
    <w:p>
      <w:r>
        <w:t>GE Cour de justice, 2018-12-19, FR</w:t>
      </w:r>
    </w:p>
    <w:p>
      <w:r>
        <w:rPr>
          <w:b/>
        </w:rPr>
        <w:t xml:space="preserve">Quelle: </w:t>
      </w:r>
      <w:r>
        <w:t>https://mcp.opencaselaw.ch/entscheid/ge_gerichte_ATAS_1192_2018</w:t>
      </w:r>
    </w:p>
    <w:p>
      <w:r>
        <w:t>FR: GE_GERICHTE ATAS/1192/2018 du 19 décembre 2018</w:t>
      </w:r>
    </w:p>
    <w:p>
      <w:r>
        <w:t>IT: GE_GERICHTE ATAS/1192/2018 del 19 dicembre 2018</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Interjeté dans les forme et délai prévus par la loi, le recours est recevable (art. 56 à 60 cum art. 30 LPGA, ainsi que 64 al. 2 et 89A et ss LPA) dans la mesure où il tend implicitement à l'annulation de la décision entreprise.</w:t>
      </w:r>
    </w:p>
    <w:p>
      <w:r>
        <w:rPr>
          <w:b/>
        </w:rPr>
        <w:t>E. 3</w:t>
      </w:r>
    </w:p>
    <w:p>
      <w:r>
        <w:t>Le litige se limite au point de savoir si l’intimé était fondé à refuser d’entrer en matière sur la dernière demande de prestations de la recourante.</w:t>
      </w:r>
    </w:p>
    <w:p>
      <w:r>
        <w:rPr>
          <w:b/>
        </w:rPr>
        <w:t>E. 4</w:t>
      </w:r>
    </w:p>
    <w:p>
      <w:r>
        <w:t>Lorsque la rente d'invalidité a été refusée parce que le degré d'invalidité était insuffisant, la nouvelle demande ne peut être examinée que si l'assuré rend plausible que son invalidité s'est modifiée de manière à influencer ses droits (art. 87 al. 2 et 3 du règlement sur l'assurance-invalidité du 17 janvier 1961 [RAI ; RS 831.201]). Les conditions d'entrée en matière prévues par l'art. 87 al. 2 et 3 RAI ont pour but de restreindre la possibilité de présenter de manière répétée des demandes de rente identiques (ATF 133 V 108 consid. 5.3.1). L’exigence du caractère plausible d’une modification de l’état de santé susceptible d’influencer les droits de l’assuré doit permettre à l'administration d'écarter sans plus ample examen de nouvelles demandes, respectivement des demandes de révision dans lesquelles</w:t>
      </w:r>
    </w:p>
    <w:p>
      <w:r>
        <w:t>A/1052/2018 - 5/9 - l'assuré se borne à répéter les mêmes arguments, sans alléguer une modification des faits déterminants (ATF 125 V 410 consid. 2b, 117 V 198 consid. 4b et les références). C’est à l’aune des mêmes dispositions légales que le Tribunal fédéral a examiné le cas d’un assuré qui avait déposé une nouvelle demande de prestations, alors qu’il avait bénéficié auparavant d’une rente entière de l’assurance-invalidité pour une durée limitée dans le temps (arrêt du Tribunal fédéral 9C_970/2010 du 30 mars 2011).</w:t>
      </w:r>
    </w:p>
    <w:p>
      <w:r>
        <w:rPr>
          <w:b/>
        </w:rPr>
        <w:t>E. 5</w:t>
      </w:r>
    </w:p>
    <w:p>
      <w:r>
        <w:t>Lorsqu'elle est saisie d'une nouvelle demande, l'administration doit donc commencer par examiner si les allégations de l'assuré sont, d'une manière générale, plausibles. Si tel n'est pas le cas, l'affaire est liquidée d'entrée de cause et sans autres investigations par un refus d'entrer en matière. À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(ATF 109 V 108 consid. 2b). Ainsi, le juge ne doit examiner comment l’administration a tranché la question de l’entrée en matière que lorsque ce point est litigieux, c’est-à-dire quand l’administration a refusé d’entrer en matière en se fondant sur l’art. 87 RAI et que l’assuré a interjeté recours pour ce motif. Ce contrôle par l’autorité judiciaire n’est en revanche pas nécessaire lorsque l’administration est entrée en matière sur la nouvelle demande (ATF 109 V 114 consid. 2b).</w:t>
      </w:r>
    </w:p>
    <w:p>
      <w:r>
        <w:rPr>
          <w:b/>
        </w:rPr>
        <w:t>E. 6</w:t>
      </w:r>
    </w:p>
    <w:p>
      <w:r>
        <w:t>Le principe inquisitoire, selon lequel les faits pertinents de la cause doivent être constatés d'office par l'autorité (cf. ATF 125 V 193 consid. 2, 122 V 157 consid. 1a et les références), ne s'applique pas à la procédure de l'art. 87 RAI (ATF 130 V 64 consid. 5.2.5). Eu égard au caractère atypique de celle-ci dans le droit des assurances sociales, le Tribunal fédéral des assurances a précisé que l'administration pouvait appliquer par analogie l'art. 73 RAI (voir l'art. 43 al. 3 LPGA) - qui permet aux organes de l'AI de statuer en l'état du dossier en cas de refus de l'assuré de coopérer - à la procédure régie par l'art. 87 RAI, à la condition de s'en tenir aux principes découlant de la protection de la bonne foi (cf. art. 5 al. 3 et 9 Cst.; ATF 124 II 265 consid. 4a). Ainsi,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 les faits allégués. Un assuré qui renonce à présenter des preuves alors qu'il y a été invité et a bénéficié d'un délai raisonnable</w:t>
      </w:r>
    </w:p>
    <w:p>
      <w:r>
        <w:t>A/1052/2018 - 6/9 - pour ce faire ne saurait invoquer la violation de son droit à un procès équitable au sens de l'art. 6 par. 1 CEDH. En effet, l'administration a offert à l'assuré une possibilité raisonnable de présenter sa demande, y compris ses moyens de preuve, si bien que ce dernier ne se retrouvait nullement dans une situation de net désavantage par rapport à son interlocuteur (arrêt du Tribunal fédéral 9C_970/2010 du 30 mars 2011 consid. 4 ; voir arrêt de la Cour européenne des droits de l'homme Dombo Beheer BV contre Pays-Bas du 27 octobre 1993, Série A, vol. 274 n° 33).</w:t>
      </w:r>
    </w:p>
    <w:p>
      <w:r>
        <w:rPr>
          <w:b/>
        </w:rPr>
        <w:t>E. 7</w:t>
      </w:r>
    </w:p>
    <w:p>
      <w:r>
        <w:t>L'exigence du caractère plausible de la nouvelle demande selon l'article 87 RAI ne renvoie pas à la notion de vraisemblance prépondérante usuelle en droit des assurances sociales. Les exigences de preuves sont, au contraire, sensiblement réduites en ce sens que la conviction de l'autorité administrative n'a pas besoin d'être fondée sur la preuve pleinement rapportée qu'une modification déterminante est survenue depuis le moment où la décision refusant les prestations a été rendue. Des indices d'une telle modification suffisent alors même que la possibilité subsiste qu'une instruction plus poussée ne permettra pas de l'établir (Damien VALLAT, La nouvelle demande de prestations AI et les autres voies permettant la modification de décisions en force, RSAS 2003, p. 396 ch. 5.1 et les références).</w:t>
      </w:r>
    </w:p>
    <w:p>
      <w:r>
        <w:rPr>
          <w:b/>
        </w:rPr>
        <w:t>E. 8</w:t>
      </w:r>
    </w:p>
    <w:p>
      <w:r>
        <w:t>Lors de l'appréciation du caractère plausible d'une modification déterminante des faits influant sur le droit aux prestations, on compare les faits tels qu'ils se présentaient au moment de la décision administrative litigieuse et les circonstances prévalant à l'époque de la dernière décision d'octroi ou de refus des prestations (ATF 130 V 64 consid. 2 ; 109 V 262 consid. 4a). Enfin, on rappellera que dans un litige portant sur le bien-fondé du refus d'entrer en matière sur une nouvelle demande, le juge doit examiner la situation d'après l'état de fait tel qu'il se présentait à l'administration au moment où celle-ci a statué. Son examen est ainsi d'emblée limité au point de savoir si les pièces déposées en procédure administrative justifiaient ou non la reprise de l'instruction du dossier. Il ne sera donc pas tenu compte des rapports produits postérieurement à la décision litigieuse (ATF 130 V 64 consid. 5.2.5 ; 121 V 366 consid. 1b et les références ; arrêts du Tribunal fédéral 9C_789/2012 du 27 juillet 2013, 9C 959/2011 du 6 août 2012 consid. 4.3).</w:t>
      </w:r>
    </w:p>
    <w:p>
      <w:r>
        <w:rPr>
          <w:b/>
        </w:rPr>
        <w:t>E. 9</w:t>
      </w:r>
    </w:p>
    <w:p>
      <w:r>
        <w:t>a. En l'espèce, force est de constater que lors du dépôt de sa nouvelle demande, reçue par l'OAI le 20 décembre 2017, la recourante s'est bornée à indiquer que son incapacité de travail actuelle remontait à juin 2017. Elle n'a donné aucune indication sur la nature précise de l'atteinte à la santé motivant sa démarche, se bornant à mentionner dans la rubrique relative à la désignation de ses médecins traitants, que ceux-ci la suivaient pour « dépression ». Dans ces conditions, la chambre de céans ne peut que constater que cette demande était manifestement insuffisante en regard des principes rappelés ci-dessus, notamment quant aux conditions mentionnées à l'art. 87 al. 2 et RAI et à la jurisprudence y relative, qui rappelle que les conditions d'entrée en matière prévues par l'art. 87 al. 2 et 3 RAI ont pour but de restreindre la possibilité de présenter de manière répétée des</w:t>
      </w:r>
    </w:p>
    <w:p>
      <w:r>
        <w:t>A/1052/2018 - 7/9 - demandes de rente identiques, l’exigence du caractère plausible d’une modification de l’état de santé susceptible d’influencer les droits de l’assuré devant permettre à l'administration d'écarter sans plus ample examen de nouvelles demandes, respectivement des demandes de révision dans lesquelles l'assuré se borne à répéter les mêmes arguments, sans alléguer une modification des faits déterminants (ATF 133 V 108 consid. 5.3.1 et ATF 125 V 410 consid. 2b, 117 V 198 consid. 4b et les références). b. Il est établi que, par courrier du 21 décembre 2017, l'OAI a expressément rappelé à l'assurée qu'il ne pouvait pas, en l'état de sa demande, apprécier le caractère plausible de l'aggravation de l'état de santé qu'implique une demande de révision, en lui rappelant les principes légaux, et en lui indiquant de façon précise ce qui était attendu d'elle pour que l'OAI puisse examiner cette nouvelle demande. Son attention a été attirée sur le fait qu'il lui appartenait de faire parvenir tous les documents médicaux permettant de rendre plausible l'aggravation de son état de santé depuis la date de la dernière décision. L'intimé précisait qu'il serait notamment utile de lui fournir un rapport médical circonstancié de chacun de ses médecins traitants démontrant une aggravation probante (diagnostics, évolutions, capacité de travail dans son activité habituelle et dans une activité adaptée, limitations fonctionnelles). L'office lui impartissait un délai de trente jours pour ce faire. Force est de constater qu'elle n'a donné aucune suite à ce courrier. c. Elle n'a pas davantage réagi lorsque l'intimé lui a adressé le projet de décision du 24 janvier 2018, lui donnant encore la possibilité de réagir dans les 30 jours avant que le refus d'entrer en matière annoncé fasse l'objet d'une décision formelle. d. Ce n'est qu'en annexe à son recours du 26 mars 2018 contre la décision du 27 février 2018 qu'elle a produit un constat médical de son médecin traitant et un certificat médical de son psychiatre, prétendant malicieusement produire ces documents « suite à la requête du 27 février 2018 de l'assurance invalidité ». Il sied à cet égard d'observer que la décision entreprise ne lui réclamait aucun document, ni ne lui donnait d'ailleurs l'opportunité d'en produire à ce stade de la procédure. e. En définitive, la recourante n'a produit les premiers documents médicaux depuis sa demande de prestations du 19 décembre 2017 qu'en annexe à son recours, et par conséquent largement après la décision entreprise. Ces documents sont du reste tous deux datés du jour-même que le recours, et sont donc postérieurs à la décision entreprise. Au vu des principes jurisprudentiels contenus dans les arrêts visés précédemment (notamment arrêt du Tribunal fédéral 9C_789/2012 du 27 juillet 2013), la chambre de céans n'a pas à en tenir compte. Il résulte ainsi de ce qui précède que l'on ne saurait faire grief à l'intimé d'avoir refusé d'entrer en matière, dans ces conditions: outre le fait que l'OAI a scrupuleusement respecté les directives jurisprudentielles en cas de présentation, non conforme aux conditions de l'art. 87 al. 2 et RAI, d'une demande de prestations après un premier refus dû au fait que le taux d'invalidité était insuffisant. En effet</w:t>
      </w:r>
    </w:p>
    <w:p>
      <w:r>
        <w:t>A/1052/2018 - 8/9 - l'intimé a rendu sa décision après avoir insisté à deux reprises au moins auprès de l'assurée, lui rappelant les règles régissant la procédure qu'elle avait initiée, et en lui exposant de manière claire et simple ce qui était attendu d'elle, respectivement de ses médecins, pour satisfaire aux exigences minimales permettant à l'autorité de se déterminer sur la plausibilité de l'aggravation de l'état de santé. La recourante n'a pas réagi, quoi qu'elle en eût les moyens. Au vu de ce qui précède, la décision litigieuse n'est pas critiquable. C'est donc à juste titre que l'intimée a refusé d'entrer en matière.</w:t>
      </w:r>
    </w:p>
    <w:p>
      <w:r>
        <w:rPr>
          <w:b/>
        </w:rPr>
        <w:t>E. 10</w:t>
      </w:r>
    </w:p>
    <w:p>
      <w:r>
        <w:t>Mal fondé, le recours sera donc rejeté.</w:t>
      </w:r>
    </w:p>
    <w:p>
      <w:r>
        <w:rPr>
          <w:b/>
        </w:rPr>
        <w:t>E. 11</w:t>
      </w:r>
    </w:p>
    <w:p>
      <w:r>
        <w:t>La procédure n'est pas gratuite - ce qui a d'ailleurs été rappelé à la recourante, par la chambre de céans, dans le courrier du 29 mars 2018 par lequel elle accusait réception du recours -: l'art. 69 al. 1bis LAI prévoit en effet qu'en dérogation à l’art. 61, let. a LPGA, la procédure de recours en matière de contestations portant sur l’octroi ou le refus de prestations de l’AI devant le tribunal cantonal des assurances est soumise à des frais de justice, dont le montant doit se situer entre CHF 200.- et CHF. 1'000.-. Il y a dès lors lieu de condamner la recourante au paiement d'un émolument de CHF 200.-.</w:t>
      </w:r>
    </w:p>
    <w:p>
      <w:r>
        <w:t>A/1052/2018 - 9/9 -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