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ATAS/1190/2020 vom 9. Dezember 2020</w:t>
      </w:r>
    </w:p>
    <w:p>
      <w:r>
        <w:t>GE Cour de justice, 2020-12-09, FR</w:t>
      </w:r>
    </w:p>
    <w:p>
      <w:r>
        <w:rPr>
          <w:b/>
        </w:rPr>
        <w:t xml:space="preserve">Quelle: </w:t>
      </w:r>
      <w:r>
        <w:t>https://mcp.opencaselaw.ch/entscheid/ge_gerichte_ATAS_1190_2020</w:t>
      </w:r>
    </w:p>
    <w:p>
      <w:r>
        <w:t>FR: GE_GERICHTE ATAS/1190/2020 du 9 décembre 2020</w:t>
      </w:r>
    </w:p>
    <w:p>
      <w:r>
        <w:t>IT: GE_GERICHTE ATAS/1190/2020 del 9 dicembre 2020</w:t>
      </w:r>
    </w:p>
    <w:p>
      <w:pPr>
        <w:pStyle w:val="Heading2"/>
      </w:pPr>
      <w:r>
        <w:t>Erwägungen</w:t>
      </w:r>
    </w:p>
    <w:p>
      <w:r>
        <w:rPr>
          <w:b/>
        </w:rPr>
        <w:t>E. 20</w:t>
      </w:r>
    </w:p>
    <w:p>
      <w:r>
        <w:t>Le 25 septembre 2020, la recourante a persisté dans ses conclusions.</w:t>
      </w:r>
    </w:p>
    <w:p>
      <w:r>
        <w:rPr>
          <w:b/>
        </w:rPr>
        <w:t>E. 21</w:t>
      </w:r>
    </w:p>
    <w:p>
      <w:r>
        <w:t>Sur ce, la cause a été gardée à juger.</w:t>
      </w:r>
    </w:p>
    <w:p>
      <w:r>
        <w:t>A/1896/2020 - 6/8 - EN DROIT 1. Conformément à l'art. 134 al. 1 let. a ch. 3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la forme et le délai prévus par la loi, le recours est recevable (art. 56 et 60 LPGA et art. 89B de la loi sur la procédure administrative du 12 septembre 1985 [LPA-GE - E 5 10]). 3. Est litigieuse en l’occurrence la question de savoir si la recourante peut bénéficier d’une remise de l’obligation de restituer la somme de CHF 19'746.-. 4. À teneur de l’art. 25 LPGA, les prestations indûment touchées doivent être restituées, la restitution ne pouvant toutefois être exigée lorsque l’intéressé était de bonne foi et qu’elle le mettrait dans une situation difficile (al. 1).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w:t>
      </w:r>
    </w:p>
    <w:p>
      <w:r>
        <w:t>A/1896/2020 - 7/8 -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l’espèce, au vu de la jurisprudence précitée, la recourante aurait dû annoncer sans délai à l’intimé le fait que son époux avait été engagé pour une durée indéterminée et lui transmettre toutes les fiches de salaire depuis son engagement temporaire à mesure qu’elle les recevait, dès lors que les montants fluctuaient. Elle ne pouvait ignorer ses obligations envers l’intimé, étant relevé qu’elle les a observées quand il s’agissait de prouver les recherches d’emploi de son époux, en les transmettant tous les mois de février à juillet 2019. Son attention avait été attirée à de nombreuses reprises par l’intimé sur son obligation de renseigner. Si elle a informé l’intimé, le 2 juillet 2019, du fait que son mari avait « eu une intéressante proposition » pour un emploi temporaire, qui pourrait se transformer en emploi à durée déterminée, et que, le 5 août 2019, elle a évoqué des salaires fluctuants, ces informations étaient insuffisantes et ne permettaient pas à l’intimé d’ajuster rapidement le montant des prestations complémentaires. Elle ne pouvait se contenter d’attendre que l’intimé lui demande des pièces complémentaires. Il en résulte que la condition de la bonne foi n’est pas réalisée en l’espèce. Dès lors qu’il suffit que cette condition ne soit pas remplie pour que la recourante n’ait pas droit à une remise, il n'y a pas lieu d'examiner la condition de la situation difficile. 6. En conséquence, c’est à juste titre que l’intimé a refusé d’accorder la remise à la recourante. 7. Infondé, le recours sera rejeté. 8. La procédure est gratuite.</w:t>
      </w:r>
    </w:p>
    <w:p>
      <w:r>
        <w:t>A/1896/2020 - 8/8 -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