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ATAS/1190/2013 vom 28. November 2013</w:t>
      </w:r>
    </w:p>
    <w:p>
      <w:r>
        <w:t>GE Cour de justice, 2013-11-28, FR</w:t>
      </w:r>
    </w:p>
    <w:p>
      <w:r>
        <w:rPr>
          <w:b/>
        </w:rPr>
        <w:t xml:space="preserve">Quelle: </w:t>
      </w:r>
      <w:r>
        <w:t>https://mcp.opencaselaw.ch/entscheid/ge_gerichte_ATAS_1190_2013</w:t>
      </w:r>
    </w:p>
    <w:p>
      <w:r>
        <w:t>FR: GE_GERICHTE ATAS/1190/2013 du 28 novembre 2013</w:t>
      </w:r>
    </w:p>
    <w:p>
      <w:r>
        <w:t>IT: GE_GERICHTE ATAS/1190/2013 del 28 novembre 2013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 , Juges assesseurs</w:t>
      </w:r>
    </w:p>
    <w:p>
      <w:r>
        <w:t>REPUBLIQUE ET</w:t>
      </w:r>
    </w:p>
    <w:p>
      <w:r>
        <w:t>CANTON DE GENEVE POUVOIR JUDICIAIRE</w:t>
      </w:r>
    </w:p>
    <w:p>
      <w:r>
        <w:t>A/3295/2013 ATAS/1190/2013 COUR DE JUSTICE Chambre des assurances sociales Arrêt du 28 novembre 2013 3ème Chambre</w:t>
      </w:r>
    </w:p>
    <w:p>
      <w:r>
        <w:t>En la cause Mineure A__________ , représentée par sa mère, Madame AB__________, domiciliée à LE LIGNON, représentée par l’Assoc. permanence défense des patients et assurés (APAS)</w:t>
      </w:r>
    </w:p>
    <w:p>
      <w:r>
        <w:t>recourante</w:t>
      </w:r>
    </w:p>
    <w:p>
      <w:r>
        <w:t>contre OFFICE DE L'ASSURANCE-INVALIDITE DU CANTON DE GENEVE, Service juridique, sis rue des Gares 12, GENEVE intimé</w:t>
      </w:r>
    </w:p>
    <w:p>
      <w:r>
        <w:t>A/3295/2013 - 2/2 - Vu la décision rendue du 26 septembre 2013 par l’Office cantonal de l’assurance- invalidité concernant l’enfant A__________ (ci-après : l’assurée) ; Vu le recours interjeté le 15 octobre 2013 par la mère de l’enfant, Attendu que, par écriture du 20 novembre 2013, la recourante a indiqué qu’elle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