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ATAS/1190/2011 vom 30. November 2011</w:t>
      </w:r>
    </w:p>
    <w:p>
      <w:r>
        <w:t>GE Cour de justice, 2011-11-30, FR</w:t>
      </w:r>
    </w:p>
    <w:p>
      <w:r>
        <w:rPr>
          <w:b/>
        </w:rPr>
        <w:t xml:space="preserve">Quelle: </w:t>
      </w:r>
      <w:r>
        <w:t>https://mcp.opencaselaw.ch/entscheid/ge_gerichte_ATAS_1190_2011</w:t>
      </w:r>
    </w:p>
    <w:p>
      <w:r>
        <w:t>FR: GE_GERICHTE ATAS/1190/2011 du 30 novembre 2011</w:t>
      </w:r>
    </w:p>
    <w:p>
      <w:r>
        <w:t>IT: GE_GERICHTE ATAS/1190/2011 del 30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la décision litigieuse est postérieure à l'entrée en vigueur de la LPGA ainsi qu’à l’entrée en vigueur, le 1er janvier 2004, des modifications de la LAI du 21 mars 2003 (4ème révision) et, le 1er janvier 2008, des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 Les règles de procédure s’appliquent quant à elles sans réserve dès le jour de leur entrée en vigueur (ATF 117 V 71 consid. 6b).</w:t>
      </w:r>
    </w:p>
    <w:p>
      <w:r>
        <w:rPr>
          <w:b/>
        </w:rPr>
        <w:t>E. 2.2</w:t>
      </w:r>
    </w:p>
    <w:p>
      <w:r>
        <w:t>et les références). Selon la jurisprudence, sont considérés comme "nouveaux" pouvant donner lieu à une révision procédurale,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non publié du 3 juillet 2002, H 121/02).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w:t>
      </w:r>
    </w:p>
    <w:p>
      <w:r>
        <w:t>A/1481/2011 - 14/19 - que les bases de la décision entreprise comportaient des défauts objectifs. Pour justifier la révision d'une décision, il ne suffit pas que l'expert tire ultérieurement, des faits connus au moment du jugement principal, d'autres conclusions que le tribunal (ATF 127 V 358 consid. 5b et les références). b) La révision procédurale est soumise aux délais prévus par l’art. 67 de la loi fédérale sur la procédure administrative (PA), applicable par renvoi de l’art. 55 al. 1er LPGA, à savoir un délai relatif de nonante jours dès la découverte du motif de révision et un délai absolu de dix ans qui commence à courir avec la notification de la décision (ATF non publié du 3 août 2007, I 528/06 consid. 4.2 et les références). Pour déterminer le moment de la découverte du motif de révision, il ne faut pas se fonder sur la connaissance effective (subjective) par le représentant légal mandaté ultérieurement, mais il faut examiner à partir de quand la personne habilitée à demander la révision a pu avoir connaissance du motif de révision (ATF non publié du 13 mars 2007, U 120/06 consid. 4 et la référence). c) La révision procédurale produit des effets ex tunc (ATF 122 V 134, consid. 4d; ATF 129 V 211, consid. 3.2.2).</w:t>
      </w:r>
    </w:p>
    <w:p>
      <w:r>
        <w:rPr>
          <w:b/>
        </w:rPr>
        <w:t>E. 3</w:t>
      </w:r>
    </w:p>
    <w:p>
      <w:r>
        <w:t>Interjeté dans les forme et délai prévus par la loi, le recours est recevable (art. 56 et 60 LPGA ; art.89B de la loi sur la procédure administrative, du 12 septembre 1985 - LPA ; RS E 5 10).</w:t>
      </w:r>
    </w:p>
    <w:p>
      <w:r>
        <w:rPr>
          <w:b/>
        </w:rPr>
        <w:t>E. 4</w:t>
      </w:r>
    </w:p>
    <w:p>
      <w:r>
        <w:t>Le litige consiste à déterminer depuis quand le recourant présente un degré d’invalidité de 100 % ouvrant droit à une rente entière de l’assurance invalidité.</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w:t>
      </w:r>
    </w:p>
    <w:p>
      <w:r>
        <w:t>A/1481/2011 - 11/19 -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 ce sont donc les conséquences économiques objectives de l’incapacité fonctionnelle qu’il importe d’évaluer (ATF 110 V 275 consid. 4a, 105 V 207 consid. 2). Selon le texte de la loi en vigueur jusqu'au 31 décembre 2007, l'invalidité est réputée survenue, selon l’art. 4 al. 2 LAI,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S’agissant du droit à une rente, la survenance de l’invalidité se situe au moment où il prend naissance, conformément à l’art. 29 al. 1er LAI,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Avec l'entrée en vigueur depuis le 1er janvier 2008 de la nouvelle LAI, l'invalidité est réputée survenue, selon l’art. 4 al. 2 LAI, dès qu’elle est, par sa nature et sa gravité, propre à ouvrir droit aux prestations entrant en considération.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 b) Selon l’art. 28 al. 1er LAI dans sa teneur en vigueur jusqu’au 31 décembre 2003, l’assuré a droit à une rente entière s’il est invalide à 66 2/3% au moins, à une demi- rente s’il est invalide à 50% au moins, ou à un quart de rente s’il est invalide à 40% au moins ; dans les cas pénibles, l’assuré peut, d’après l’art. 28 al. 1bis LAI, prétendre à une demi-rente s’il est invalide à 40% au moins.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1er LAI dans sa teneur en vigueur depuis le 1er janvier 2008, l’assuré a droit à une rente d’invalidité aux conditions suivantes : sa capacité de</w:t>
      </w:r>
    </w:p>
    <w:p>
      <w:r>
        <w:t>A/1481/2011 - 12/19 -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du Règlement sur l'assurance- invalidité du 17 janvier 1961 - RAI ; RS 831.201).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Selon la jurisprudence constante, la dépendance, qu'elle prenne la forme de l'alcoolisme, de la pharmacodépendance ou de la toxicomanie ne joue un rôle dans l'assurance-invalidité que lorsqu'elle a provoqué une maladie ou un accident qui entraîne une atteinte à la santé physique ou mentale, nuisant à la capacité de gain, ou que si elle résulte elle-même d'une atteinte à la santé physique ou mentale qui a valeur de maladie (ATF 124 V 268 consid. 3c; VSI 1996 p. 317, 320 et 323). En tant qu'elle n'est ni la cause, ni la conséquence d'une atteinte à la santé physique ou psychique ayant valeur de maladie, la dépendance constitue une affection primaire non constitutive d'invalidité (ATF non publié 9C_219/07 du 3 avril 2008, consid. 3).</w:t>
      </w:r>
    </w:p>
    <w:p>
      <w:r>
        <w:rPr>
          <w:b/>
        </w:rPr>
        <w:t>E. 7</w:t>
      </w:r>
    </w:p>
    <w:p>
      <w:r>
        <w:t>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w:t>
      </w:r>
    </w:p>
    <w:p>
      <w:r>
        <w:t>A/1481/2011 - 13/19 -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précité ; OMLIN, Die Invaliditätsbemessung in der obligatorischen Unfallversicherung p. 297 ss). Selon la jurisprudence, le juge ne doit, en principe, pas s’écarter sans motif impératif des conclusions d’une expertise médicale, la tâche de l’expert étant précisément de mettre ses connaissances spéciales à la disposition de la justice afin de l’éclairer sur les aspects médicaux d’un état de fait donné. Peut constituer une raison de s’écarter d’une expertise le fait que celle-ci ne remplit pas les conditions nécessaires à lui reconnaître toute valeur probante (elle contient des contradictions ou est incomplète).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w:t>
      </w:r>
    </w:p>
    <w:p>
      <w:r>
        <w:rPr>
          <w:b/>
        </w:rPr>
        <w:t>E. 8</w:t>
      </w:r>
    </w:p>
    <w:p>
      <w:r>
        <w:t>a) À teneur de l’art. 53 al. 1er LPGA,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(art. 53 al. 1 LPGA), de révision d'un jugement cantonal (art. 61 let. i LPGA) ou de révision d'un arrêt fondée sur l'article 137 lettre b OJ (cf. arrêt D. du 28 avril 2005 [I 183/04], consid.</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pour fonder sa décision, l'intimé s'est appuyé sur les conclusions de son service médical. Il a retenu que le recourant présentait une atteinte à la santé depuis janvier 2008, lui donnant droit à une rente entière d'invalidité dès le 1er janvier 2009. Le recourant conteste cette appréciation et se réfère au rapport d’expertise du CEMED selon lequel il présente une incapacité totale de travail depuis mars 2003, lui donnant droit à une rente entière d'invalidité dès le 24 mars 2004.</w:t>
      </w:r>
    </w:p>
    <w:p>
      <w:r>
        <w:rPr>
          <w:b/>
        </w:rPr>
        <w:t>E. 11</w:t>
      </w:r>
    </w:p>
    <w:p>
      <w:r>
        <w:t>a) Les médecins du CEMED ont réalisé une expertise pluridisciplinaire les 17 et 23 juin 2009 à la demande de l'intimé. Au terme de leur analyse, ils sont parvenus à la conclusion claire que la capacité de travail du recourant était nulle, depuis plusieurs années sur le plan somatique et depuis mars 2003 probablement sur le plan</w:t>
      </w:r>
    </w:p>
    <w:p>
      <w:r>
        <w:t>A/1481/2011 - 15/19 - psychique. Les limitations quant à la capacité de travail tenaient aux diminutions des facultés cognitives (attention, concentration) dues à l’imprégnation par les toxiques, surtout l’alcool, et à la diminution de la motivation due à la dépression. Sur le plan psychiatrique, les experts ont retenu les diagnostics de dépendance à l’alcool, utilisation continue (F 10.25), de dépendance au cannabis, utilisation continue (F 12.25), de dépendance aux opiacés, actuellement en régime de substitution (méthadone) sous surveillance médicale (F 11.22), de trouble dépressif récurrent, épisode actuel moyen avec syndrome somatique (F 33.11) et de trouble mixte de la personnalité avec traits évitants et dépendants (F 61). L'expert psychiatre a relevé que la toxicomanie du recourant était clairement secondaire, l’utilisation des toxiques ayant été favorisée, si ce n’était provoquée, par la vulnérabilité psychique présentée dès l’enfance (terrain anxieux et affectivement dépendant). Sur le plan somatique, il a été mis en évidence une broncho- pneumopathie chronique de degré modéré contribuant largement à la dyspnée, une hypercapnie et une hypoxémie compatible avec une hypoventilation alvéolaire sévère liée d’une part à l’obésité et d’autre part à la broncho-pneumopathie obstructive chronique. La Cour relève que lors de leur expertise, les experts du CEMED ont procédé à un examen complet et minutieux de l’état de santé du recourant. Pour ce faire, les experts se sont appuyés sur l’entier du dossier, notamment sur les rapports des médecins ayant examiné le patient auparavant, de sorte qu’on ne peut que constater que leur rapport se base sur un dossier bien étayé. Une anamnèse complète a été réalisée et le rapport d'une vingtaine de pages est circonstancié. L’état de santé du recourant a fait l’objet d’examens approfondis, ses plaintes ont été prises en compte et les médecins ont procédé à une discussion et une appréciation du cas détaillée. Ils ont en outre expliqué de manière convaincante pourquoi la toxicomanie du recourant devait être considérée comme secondaire et non primaire, dans la mesure où l'utilisation des toxiques, notamment de l'alcool, avait été favorisée, si ce n’était provoquée, par la vulnérabilité psychique présentée dès l’enfance (terrain anxieux et affectivement dépendant). b) Le SMR, sous la plume du Dr V__________, a dans un premier temps considéré que l’expertise réalisée par le CEMED était convaincante et que l’incapacité de travail durable du recourant était totale depuis mars 2003. Dans un second temps, suite au recours de l'assuré contre la décision du 12 novembre 2009, le SMR, sous la plume de la Dresse Q__________, a contesté la valeur probante de l'expertise du CEMED, estimant qu'elle renfermait de nombreuses discordances au niveau des diagnostics, de l'évolution et de l'éthologie de la toxicomanie. L'intimé a donc procédé à un complément d'instruction et requis un examen clinique psychiatrique effectué au SMR. Les médecins du SMR ont retenu, au titre</w:t>
      </w:r>
    </w:p>
    <w:p>
      <w:r>
        <w:t>A/1481/2011 - 16/19 - de diagnostics avec répercussion durable sur la capacité de travail, des troubles mentaux dus à une affection physique, des troubles cognitifs moyens (F 06.7), un syndrome de dépendance à l’alcool actuellement abstinent (F 10.20) et un syndrome des jambes sans repos (G 25.8). En revanche, le syndrome de dépendance aux opiacés, le trouble dépressif récurrent, épisode actuel moyen sans syndrome somatique, la broncho-pneumopathie chronique obstructive de degré moyen et le status après pancréatite aiguë nécrosante étaient sans répercussion sur la capacité de travail. En conclusion, ils ont retenu que le recourant présentait une incapacité totale de travail depuis début 2008 liée à des troubles cognitifs dans la genèse desquels il fallait incriminer à la fois une toxicomanie de longue durée et une insuffisance respiratoire globale sur une broncho-pneumopathie chronique obstructive, à laquelle s'étaient ajoutés d’importants troubles respiratoires nocturnes.</w:t>
      </w:r>
    </w:p>
    <w:p>
      <w:r>
        <w:rPr>
          <w:b/>
        </w:rPr>
        <w:t>E. 12</w:t>
      </w:r>
    </w:p>
    <w:p>
      <w:r>
        <w:t>L'intimé reproche aux experts du CEMED de ne pas avoir tenu compte de la jurisprudence fédérale dans leur analyse, notamment pour retenir une toxicomanie secondaire et une incapacité de travail totale depuis 2003. A cet égard, la Cour de céans souligne que le fait de porter des appréciations juridiques n’est précisément pas de la compétence du médecin (ATFA du 4 juin 2003, cause I 748/02, consid. 4.2). Par ailleurs, les médecins du SMR ont fixé au début de l'année 2008 seulement le début de l'incapacité totale de travail du recourant, ce qui paraît douteux aux yeux de la Cour. En effet, il ressort clairement des rapports des Drs L___________ et N__________ - au demeurant totalement ignorés par les médecins du SMR - que le recourant présentait une incapacité totale de travail durable bien avant janvier 2008. Les experts du CEMED ont quant à eux retenu une incapacité totale de travail depuis le mois de mars 2003, à l'instar de la Dresse L___________. Malgré certaines appréciations divergentes, telles que celle des médecins du SMR ou du Dr N__________ qui retient une incapacité totale de travail depuis 2004, la conclusion des experts du CEMED paraît tout à fait convaincante. A cet égard, la Cour de céans rappelle que ces derniers ont eu à disposition l’entier du dossier médical du recourant et qu'ils ont procédé à un examen clinique tant du point de vue psychiatrique que pneumologique. Les médecins du SMR, quant à eux, se sont limités à un examen clinique psychiatrique, le pneumologue donnant simplement une appréciation sur documents. Le rapport du CEMED d'une vingtaine de pages est d'ailleurs plus complet et plus étayé que le rapport du SMR. Au vu de ce qui précède, la Cour de céans considère que le rapport des experts du CEMED revêt pleine valeur probante. Quant au rapport des médecins du SMR, il s'agit en fait d'une nouvelle appréciation des mêmes faits qui se fonde sur un dossier incomplet, dès lors qu'il fait abstraction, notamment, des rapports des Drs L___________ et N__________. Il ne saurait donc être déterminant dans le cas d'espèce.</w:t>
      </w:r>
    </w:p>
    <w:p>
      <w:r>
        <w:t>A/1481/2011 - 17/19 -</w:t>
      </w:r>
    </w:p>
    <w:p>
      <w:r>
        <w:rPr>
          <w:b/>
        </w:rPr>
        <w:t>E. 13</w:t>
      </w:r>
    </w:p>
    <w:p>
      <w:r>
        <w:t>En définitive, c'est donc à tort que l'intimé a retenu une incapacité totale de travail dans toute activité depuis le début de l'année 2008 seulement. Au contraire, il ressort des différentes pièces du dossier et de l'expertise convaincante des médecins du CEMED que c'est depuis le 24 mars 2003 déjà que le recourant présente une incapacité totale de travail et un degré d’invalidité de 100 % ouvrant droit à une rente entière d'invalidité.</w:t>
      </w:r>
    </w:p>
    <w:p>
      <w:r>
        <w:rPr>
          <w:b/>
        </w:rPr>
        <w:t>E. 14</w:t>
      </w:r>
    </w:p>
    <w:p>
      <w:r>
        <w:t>Compte tenu de la décision entrée en force du 18 mars 2005 par laquelle l'intimé a nié le droit du recourant à des prestations de l'assurance-invalidité, il convient à ce stade de déterminer depuis quand le recourant a droit à une rente entière. a) La Cour de céans constate que les experts du CEMED sont les premiers médecins à avoir mis en évidence que les dépendances multiples du recourant s'étaient développées sur un terrain psychologique particulièrement fragile caractérisé par une grande faiblesse, une anxiété sociale majeure et un comportement dépendant, non seulement par rapport aux substances toxiques dès l'adolescence, mais aussi dans sa vie affective et relationnelle. Pour la première fois, il apparaît à la lecture du rapport du CEMED que l'utilisation des toxiques, notamment de l'alcool, a été favorisée, voire provoquée, par la vulnérabilité psychique présentée par le recourant dès l’enfance (terrain anxieux et affectivement dépendant). Selon les experts, les multiples dépendances sont en effet étroitement liées à un trouble mixte de la personnalité avec traits évitants et dépendants (F 61) et la toxicomanie du recourant est clairement secondaire. Ils ont expliqué que l'anxiété cliniquement significative avait vraisemblablement atteint le degré d'une véritable phobie sociale, c'est-à-dire une anxiété cliniquement significative provoquée par les stimuli sociaux accompagnée d'un comportement d'évitement dommageable, notamment dans les relations avec les partenaires potentielles. Assez rapidement toutefois, l'usage de toxiques, notamment d'alcool, était venu "noyer" l'angoisse sociale qui était passée au second plan tandis que l'utilisation des toxiques et ses conséquences délétères sur la vie sociale et la santé avait occupé le devant de la scène. Avant les experts du CEMED, aucun médecin n'avait évoqué une implication de l'état psychique du recourant dans ses multiples dépendances. Par conséquent, leur rapport du 24 juillet 2009 met clairement en évidence des faits nouveaux (anciens), au demeurant importants dès lors qu'ils permettent de retenir une toxicomanie secondaire constitutive d'invalidité. b) Les délais prévus à l'art. 67 PA ne posent pas de problème particulier. La décision entrée en force du 18 mars 2005 a en effet été notifiée il y a moins de dix ans et la découverte des faits nouveaux a eu lieu alors que le recourant avait déjà déposé sa nouvelle demande de prestations.</w:t>
      </w:r>
    </w:p>
    <w:p>
      <w:r>
        <w:t>A/1481/2011 - 18/19 - c) Par conséquent, il convient d'admettre en l'espèce un cas de révision procédurale, laquelle produit des effets ex tunc (ATF 122 V 134, consid. 4d; ATF 129 V 211, consid. 3.2.2). Dans la mesure où le recourant a présenté de façon prolongée une incapacité de travail de plus de 40% dès le 24 mars 2003, et qu'il présentait encore à l’issue du délai d'attente une incapacité de travail de 40 % au moins, son droit à la rente est né le 24 mars 2004 (art. 29 al. 1er LAI). Dès cette date, il a dès lors droit à une rente entière d'invalidité.</w:t>
      </w:r>
    </w:p>
    <w:p>
      <w:r>
        <w:rPr>
          <w:b/>
        </w:rPr>
        <w:t>E. 15</w:t>
      </w:r>
    </w:p>
    <w:p>
      <w:r>
        <w:t>Compte tenu de ce qui précède, le recours doit être admis et la décision de l'intimé du 19 avril 2011 annulée.</w:t>
      </w:r>
    </w:p>
    <w:p>
      <w:r>
        <w:rPr>
          <w:b/>
        </w:rPr>
        <w:t>E. 16</w:t>
      </w:r>
    </w:p>
    <w:p>
      <w:r>
        <w:t>Le recourant, qui obtient gain de cause, aura droit à une indemnité de 1'500 fr. à titre de participation à ses frais et dépens (art. 89H al. 3 LPA et art. 61 let. g LPGA).</w:t>
      </w:r>
    </w:p>
    <w:p>
      <w:r>
        <w:rPr>
          <w:b/>
        </w:rPr>
        <w:t>E. 17</w:t>
      </w:r>
    </w:p>
    <w:p>
      <w:r>
        <w:t>En vertu de l'art. 69 al. 1bis LAI, entré en vigueur le 1er juillet 2006, la procédure de recours en matière de contestations portant sur l'octroi ou le refus de prestations de l'AI devant la Cour de céans est soumise à des frais de justice, lesquels doivent se situer entre 200 fr. et 1'000 fr. Au vu du sort du recours, il y a lieu de condamner l'intimé au paiement d'un émolument de 500 fr.</w:t>
      </w:r>
    </w:p>
    <w:p>
      <w:r>
        <w:t>A/1481/2011 - 19/19 -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