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ATAS/1190/2010 vom 23. November 2010</w:t>
      </w:r>
    </w:p>
    <w:p>
      <w:r>
        <w:t>GE Cour de justice, 2010-11-23, FR</w:t>
      </w:r>
    </w:p>
    <w:p>
      <w:r>
        <w:rPr>
          <w:b/>
        </w:rPr>
        <w:t xml:space="preserve">Quelle: </w:t>
      </w:r>
      <w:r>
        <w:t>https://mcp.opencaselaw.ch/entscheid/ge_gerichte_ATAS_1190_2010</w:t>
      </w:r>
    </w:p>
    <w:p>
      <w:r>
        <w:t>FR: GE_GERICHTE ATAS/1190/2010 du 23 novembre 2010</w:t>
      </w:r>
    </w:p>
    <w:p>
      <w:r>
        <w:t>IT: GE_GERICHTE ATAS/1190/2010 del 23 novembre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loi fédérale sur les prestations complémentaires à l’AVS et à l’AI (Loi sur les prestations complémentaires; LPC) du 6 octobre 2006 n'y déroge expressément (cf. art. 1 al. 1 LPC). Sur le plan cantonal, l'art. 1A de la Loi sur les prestations cantonales complémentaires à l'assurance-vieillesse et survivants et à l'assurance-invalidité (LPCC, RS J.7.15)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w:t>
      </w:r>
    </w:p>
    <w:p>
      <w:r>
        <w:t>A/1902/2010 - 6/13 -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dispositions de la novelle du 6 octobre 2006 modifiant la LPC et de celle du 13 décembre 2007 modifiant la LPCC, entrées en vigueur le 1er janvier 2008 (RO 2007 6068), sont régies par le même principe. Étant donné que les faits déterminants se sont réalisés après l’entrée en vigueur de ces modifications, le nouveau droit est applicable.</w:t>
      </w:r>
    </w:p>
    <w:p>
      <w:r>
        <w:rPr>
          <w:b/>
        </w:rPr>
        <w:t>E. 4</w:t>
      </w:r>
    </w:p>
    <w:p>
      <w:r>
        <w:t>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Interjeté dans les forme et délai prévus par la loi, le recours est recevable (art. 56 ss LPGA ; art. 43 LPCC).</w:t>
      </w:r>
    </w:p>
    <w:p>
      <w:r>
        <w:rPr>
          <w:b/>
        </w:rPr>
        <w:t>E. 6</w:t>
      </w:r>
    </w:p>
    <w:p>
      <w:r>
        <w:t>Le présent litige porte, d’une part, sur la question du gain potentiel qui a été attribué à l’épouse du recourant et, d’autre part, sur la prise en considération, à titre de fortune pour le mois de février 2008, de la valeur des primes investies dans les assurances de rente viagère conclues auprès des RENTES GENEVOISES.</w:t>
      </w:r>
    </w:p>
    <w:p>
      <w:r>
        <w:rPr>
          <w:b/>
        </w:rPr>
        <w:t>E. 7</w:t>
      </w:r>
    </w:p>
    <w:p>
      <w:r>
        <w:t>Les personnes qui ont leur domicile et leur résidence habituelle en Suisse et qui remplissent les conditions (personnelles) prévues aux art. 4, 6 et 8 LPC ont droit à des prestations complémentaires. Le montant de la prestation complémentaire annuelle correspond à la différence entre les dépenses reconnues et les revenus déterminants (art. 9 al. 1 LPC). Font partie des revenus déterminants, notamment les rentes, pensions et autres prestations périodiques (art. 11 al. 1 let. d), la fortune mobilière et immobilière ainsi que le produit de ladite fortune (art. 11 al. 1 let. b et c). S'y ajoute un dixième de la fortune nette pour les bénéficiaires de rentes de l'assurance-vieillesse, dans la mesure où elle dépasse 40'000 fr. pour les couples (art. 11 al. 1 let. c LPC). Sont également comprises dans les revenus déterminants les ressources et parts de fortune dont un ayant droit s'est dessaisi (art. 11 al. 1 let. g LPC). Cette disposition est directement applicable lorsque l'épouse d'un assuré s'abstient de mettre en valeur sa capacité de gain, alors qu'elle pourrait se voir obligée d'exercer une activité lucrative en vertu de l'art. 163 CC (ATF 117 V 291 s. consid. 3b; VSI 2001 p. 127 consid. 1b).</w:t>
      </w:r>
    </w:p>
    <w:p>
      <w:r>
        <w:rPr>
          <w:b/>
        </w:rPr>
        <w:t>E. 8</w:t>
      </w:r>
    </w:p>
    <w:p>
      <w:r>
        <w:t>Sur le plan cantonal, la LPCC renvoie à la réglementation fédérale pour le calcul du revenu et de la fortune déterminants (art. 5 et 7 LPCC, dans leur version en vigueur dès le 1er janvier 2008).</w:t>
      </w:r>
    </w:p>
    <w:p>
      <w:r>
        <w:t>A/1902/2010 - 7/13 -</w:t>
      </w:r>
    </w:p>
    <w:p>
      <w:r>
        <w:rPr>
          <w:b/>
        </w:rPr>
        <w:t>E. 9</w:t>
      </w:r>
    </w:p>
    <w:p>
      <w:r>
        <w:t>Il convient donc, dans un premier temps, de déterminer si l’intimé pouvait exiger de l’épouse du recourant qu’elle exerçât une activité lucrative et lui attribuer un gain potentiel. Dans ce contexte,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En ce qui concerne le critère de la mise en valeur de la capacité de gain sur le marché de l’emploi, le Tribunal fédéral des assurances (ci-après :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w:t>
      </w:r>
    </w:p>
    <w:p>
      <w:r>
        <w:t>A/1902/2010 - 8/13 - éventuelle d’une insertion ou réinsertion professionnelle (art. 125 al. 2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précités peuvent être mis en œuvre, s’agissant de la reprise ou de l’extension d’une activité lucrative, par l’octroi à la personne concernée d’une période – réaliste – d’adaptation, avant d’envisager la prise en compte d’un revenu hypothétique (VSI 2/2001 p. 126 consid. 1b). Il ressort de la jurisprudence susmentionnée que pour déterminer s’il y a lieu de tenir compte du gain potentiel du conjoint dans les ressources de l’assuré, il importe d'évaluer les chances d'insertion ou de réinsertion professionnelle du conjoint du bénéficiaire de prestations et non pas d'examiner si celui-ci remplit les conditions présidant à l'octroi d'une rente d'invalidité (ATAS/1379/2008 du 27 novembre 2008). En effet, l’état de santé n’est pas le seul critère décisif pour examiner si l’on peut exiger du conjoint du bénéficiaire qu'il exerce une activité lucrative et, le cas échéant, pour fixer le salaire qu'il pourrait en retirer en faisant preuve de bonne volonté. En l’espèce, l’intimé a fondé son refus de prestations sur le fait que l’épouse du recourant ne souffrait pas d’une fibromyalgie invalidante au sens de la LAI qui l’empêcherait de se réinsérer professionnellement. Il s’est plus particulièrement attelé à examiner si l’épouse du recourant remplissait les conditions présidant à l’octroi d’une rente d’invalidité (voir à ce propos les considérations du courrier du 30 juin 2010, qui précisent la jurisprudence applicable en matière de fibromyalgie) au lieu d’évaluer ses chances d'insertion ou de réinsertion professionnelle. Or, contrairement à ce qui prévaut dans l’assurance-invalidité, dans laquelle il n’y a pas lieu d’examiner la question de savoir si un invalide peut être placé eu égard aux conditions concrètes du marché du travail (arrêt I 198/97 du 7 juillet 1998, consid. 3b et les références, in VSI 1998, p. 293), en matière de prestations complémentaires, il convient justement de déterminer si et à quelles conditions l’intéressé est en mesure de trouver un travail, en prenant en considération, d’une part, l’offre des emplois vacants appropriés et, d’autre part, le nombre de personnes recherchant un travail et en examinant concrètement la situation du marché du travail. L’argument du SPC relatif à la fibromyalgie doit par conséquent être écarté.</w:t>
      </w:r>
    </w:p>
    <w:p>
      <w:r>
        <w:rPr>
          <w:b/>
        </w:rPr>
        <w:t>E. 10</w:t>
      </w:r>
    </w:p>
    <w:p>
      <w:r>
        <w:t>Il convient dès lors d’examiner, dans un deuxième temps, les chances de réinsertion professionnelle de l’épouse du recourant. Tant le Tribunal fédéral des assurances que la juridiction de céans ont eu l’occasion de se prononcer sur cette problématique. A titre d’exemple, on citera un cas jugé par le Tribunal fédéral (RCC 1992 p. 348), dans lequel l’épouse du recourant,</w:t>
      </w:r>
    </w:p>
    <w:p>
      <w:r>
        <w:t>A/1902/2010 - 9/13 -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l’Office de l’assurance invalidité (OAI)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Le Tribunal cantonal a également conclu à l’exigibilité d’une activité à 50% de la part d’une femme de 40 ans, sans enfant, dont la fibromyalgie n'avait pas été considérée comme invalidante par l'assurance-invalidité (ATAS/1445/2007). Enfin, dans une affaire récente, le Tribunal de céans a considéré qu’il pouvait être exigé d’une épouse âgée de 54 ans, disposant d’une formation supérieure d'enseignement en français suivie en Russie, ainsi que d'une expérience professionnelle diversifiée (enseignement, activités avec des enfants), ayant profité après son arrivée en Suisse d'une période d'adaptation et de formation de dix mois suffisante pour améliorer ses connaissances orales du français, qui n'avait pas à s'occuper d'enfants en bas âge et qui avait régulièrement travaillé jusqu'en février 2007, qu'elle exerçât non seulement un métier non qualifié dans le domaine du nettoyage et de l'industrie, mais aussi dans des activités relatives à l'enseignement du français ou avec des enfants (auxiliaire de crèche, animatrice de parascolaire, etc.) (ATAS/128/2010, voir également l’arrêt 9C_240/2010 du 3 septembre 2010 le confirmant).</w:t>
      </w:r>
    </w:p>
    <w:p>
      <w:r>
        <w:rPr>
          <w:b/>
        </w:rPr>
        <w:t>E. 11</w:t>
      </w:r>
    </w:p>
    <w:p>
      <w:r>
        <w:t>En l’espèce, si l'on compare le cas d'espèce aux exemples jurisprudentiels évoqués ci-dessus, on peut retenir que l’épouse du recourant, compte tenu de la présence d’une fibromyalgie et du fait qu’elle n’a pas exercé la moindre activité lucrative depuis près de 20 ans, n’est pas en mesure d’exercer une activité à 100% sur le marché concret de travail. Comme cela a été relevé précédemment, le fait que le diagnostic de fibromyalgie ne soit pas du tout invalidant pour l’assurance-invalidité n’est à cet égard par déterminant. Il y a toutefois lieu de constater qu’au jour de la</w:t>
      </w:r>
    </w:p>
    <w:p>
      <w:r>
        <w:t>A/1902/2010 - 10/13 - décision litigieuse, l’épouse était âgée de 59 ans et 9 mois, qu’elle ne disposait pas d’une longue expérience professionnelle dès lors que, selon le rapport d’examen du SMR, elle n’avait travaillé que quelques mois dans la poissonnerie familiale et 5 ans chez X__________. S’il peut théoriquement être considéré que l’épouse du recourant serait en mesure de travailler quelques heures par jour dans une activité adaptée, il n’en demeure pas moins que son âge et le long éloignement du marché du travail rendent les chances de réinsertion professionnelle quasi-inexistantes. Le Tribunal de céans est donc d’avis que, dans ces conditions, aucun gain potentiel ne peut être pris en considération dans le calcul des prestations complémentaires.</w:t>
      </w:r>
    </w:p>
    <w:p>
      <w:r>
        <w:rPr>
          <w:b/>
        </w:rPr>
        <w:t>E. 12</w:t>
      </w:r>
    </w:p>
    <w:p>
      <w:r>
        <w:t>Il sied également de déterminer si le capital investi auprès des RENTES GENEVOISES doit être pris en considération à titre de fortune pour le mois de février 2010. Selon l’art. 15c al. 1 et 3 de l’ordonnance sur les prestations complémentaires à l’assurance-vieillesse, survivants et invalidité du 15 janvier 1971 (OPC-AVS/AI), entré en vigueur le 1er janvier 1999, la valeur de rachat des rentes viagères avec restitution est prise en compte comme élément de fortune. Sont inclus dans les revenus déterminants : (a) la rente périodique versée, à concurrence de 80% ; (b) une éventuelle participation aux excédents, en totalité. C’est le lieu de préciser que 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 susceptible de rachat au sens de l'art. 90 al. 2 de la loi fédérale du 2 avril 1908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 JUNGO/ MAUTE, Assurances-vie et impôts, 2005, p. 128 s., 143; voir aussi Gladys LAFFELY MAILLARD, Les assurances sur la vie, notamment les assurances de capitaux à prime unique, et leur traitement fiscal, Archives 66, p. 609s.; Bernard VIRET, Droit des assurances privées, 3e éd., 1991, p. 192). Dans un arrêt rendu le 20 août 2001 (arrêt P 48/00),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w:t>
      </w:r>
    </w:p>
    <w:p>
      <w:r>
        <w:t>A/1902/2010 - 11/13 - quelles ressources pécuniaires l’assurance a été financée et pour quelles raisons elle a été conclue. Seul est déterminant le fait que le preneur d’assurance puisse disposer librement de l’assurance en tout temps. C’est justement en cela que se distingue cette forme de prévoyance vieillesse professionnelle (2ème pilier et pilier 3a) dans lesquelles les droits aux prestations (en formation) ne peuvent être par principe ni nantis ni cédés avant leur échéance (VSI 2001 p. 185).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Récemment, dans un arrêt du 12 mai 2010 (ATAS/510/2010), le Tribunal de céans a considéré que l’art. 15c OPC-AVS/AI posait implicitement la condition que la police d'assurance ait une valeur de rachat. Ainsi, en l'absence de valeur de rachat, il ne peut être considéré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 Il sied encore de relever que dans les deux cas tranchés par le Tribunal fédéral (arrêts P/44/00 et P/33/03), les polices d'assurance de rente viagère avaient une valeur de rachat, puisque c'est celle-ci qui avait été prise en compte à titre de fortune pour le calcul des prestations complémentaires.</w:t>
      </w:r>
    </w:p>
    <w:p>
      <w:r>
        <w:rPr>
          <w:b/>
        </w:rPr>
        <w:t>E. 13</w:t>
      </w:r>
    </w:p>
    <w:p>
      <w:r>
        <w:t>En l’occurrence, après avoir atteint l’âge de la retraite, le 2 janvier 2010, le recourant a choisi, en février 2010, de verser l’intégralité de son capital LPP, soit 116'338 fr., en faveur des RENTES GENEVOISES, sur deux polices d’assurance différentes : − selon la police d’assurance immédiate de rentes viagères, assurance principale, , l’investissement les prestations garanties étaient une rente viagère sur deux personnes, sans restitution. Le contrat prenait effet le 1er mars 2010. − quant à la police de libre passage, elle prévoyait à titre de prestations garanties le versement d’une rente viagère sur une personne, sans restitution. Contrairement à la précédente police d’assurance, le contrat prenait effet le 1er février 2010 mais, en cas de décès avant le mois de mars 2010, le capital constitué était restitué aux bénéficiaires.</w:t>
      </w:r>
    </w:p>
    <w:p>
      <w:r>
        <w:t>A/1902/2010 - 12/13 - Quant à l’art. 5a CGA, applicables aux deux polices, il prévoit que les assurances de rente immédiate ne peuvent faire l’objet d’un rachat.</w:t>
      </w:r>
    </w:p>
    <w:p>
      <w:r>
        <w:rPr>
          <w:b/>
        </w:rPr>
        <w:t>E. 14</w:t>
      </w:r>
    </w:p>
    <w:p>
      <w:r>
        <w:t>Ainsi, conformément à l’art. 5a CGA, les polices d’assurances ne présentent pas de valeur de rachat de sorte qu’elles ne doivent pas être prises en considération dans le calcul de la fortune (voir arrêt ATAS/510/2010 du 12 mai 2010). Cela étant, conformément à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Or, le 1er janvier 2010, le recourant n’avait tout juste pas atteint l’âge de la retraite et le capital investi dans les polices d’assurance-vie n’était pas encore à sa libre disposition. En tout état, ce capital n’aura été à la libre disposition du recourant que pendant quelques jours au mois de février 2010, ce qui ne constitue pas une modification de longue durée de sa situation. Ainsi, le montant de 116'338 fr. n’avait pas à être pris en considération lors du calcul des prestations complémentaires dès lors qu’au 1er janvier, il n’était pas à la libre disposition du recourant et que, par la suite, il ne l’a, en tout état, été que pendant quelques jours au mois de février.</w:t>
      </w:r>
    </w:p>
    <w:p>
      <w:r>
        <w:rPr>
          <w:b/>
        </w:rPr>
        <w:t>E. 15</w:t>
      </w:r>
    </w:p>
    <w:p>
      <w:r>
        <w:t>Compte tenu des considérations qui précèdent, la décision sur opposition du 29 avril 2010 et la décision du 24 mars 2010 seront annulées et la cause renvoyée au SPC pour nouvelle décision dans le sens des considérants.</w:t>
      </w:r>
    </w:p>
    <w:p>
      <w:r>
        <w:rPr>
          <w:b/>
        </w:rPr>
        <w:t>E. 16</w:t>
      </w:r>
    </w:p>
    <w:p>
      <w:r>
        <w:t>Le recourante obtenant partiellement gain de cause, une indemnité de 1'200 fr. lui est accordée à titre de dépens (art. 61 let. g LPGA).</w:t>
      </w:r>
    </w:p>
    <w:p>
      <w:r>
        <w:t>A/1902/2010 - 13/13 -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