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ATAS/1190/2008 vom 21. Oktober 2008</w:t>
      </w:r>
    </w:p>
    <w:p>
      <w:r>
        <w:t>GE Cour de justice, 2008-10-21, FR</w:t>
      </w:r>
    </w:p>
    <w:p>
      <w:r>
        <w:rPr>
          <w:b/>
        </w:rPr>
        <w:t xml:space="preserve">Quelle: </w:t>
      </w:r>
      <w:r>
        <w:t>https://mcp.opencaselaw.ch/entscheid/ge_gerichte_ATAS_1190_2008</w:t>
      </w:r>
    </w:p>
    <w:p>
      <w:r>
        <w:t>FR: GE_GERICHTE ATAS/1190/2008 du 21 octobre 2008</w:t>
      </w:r>
    </w:p>
    <w:p>
      <w:r>
        <w:t>IT: GE_GERICHTE ATAS/1190/2008 del 21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28 avril 2008 et statuant sur un état de fait juridiquement déterminant remontant à l'année 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Le litige porte sur le droit de l'assurée à une rente d'invalidité.</w:t>
      </w:r>
    </w:p>
    <w:p>
      <w:r>
        <w:rPr>
          <w:b/>
        </w:rPr>
        <w:t>E. 5</w:t>
      </w:r>
    </w:p>
    <w:p>
      <w:r>
        <w:t>En vertu des art. 8 al. 1 LPGA et 4 al. 1 LAI, est réputée invalidité l'incapacité de gain totale ou partielle présumée permanente ou de longue durée et résultant d'une</w:t>
      </w:r>
    </w:p>
    <w:p>
      <w:r>
        <w:t>A/1797/2008 - 5/8 -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w:t>
      </w:r>
    </w:p>
    <w:p>
      <w:r>
        <w:t>A/1797/2008 - 6/8 -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l'OCAI a nié le droit de l'assurée à toute prestation AI, au motif que selon le rapport du Dr Q___________ daté du 31 août 2008, elle ne souffre d'aucune atteinte sur le plan psychiatrique qui aurait pu influer sur sa capacité de travail. Seule la présence d'une dysthymie a été retenue. Le médecin a ainsi considéré que l'assurée était capable de travailler à 100% dans l'activité qu'elle exerçait auparavant. Force est de constater que le rapport du Dr Q___________ remplit tous les réquisits exigés par la jurisprudence permettant de lui attribuer pleine valeur probante. Ce médecin a procédé à un examen complet et effectué une anamnèse détaillée. Ses conclusions, fondées sur l'ensemble du dossier médical, sont claires et bien motivées. Le Dr L___________ ne partage certes pas l'avis du Dr Q___________, puisqu'il considère que sa patiente présente une incapacité de travail de 100% comme femme</w:t>
      </w:r>
    </w:p>
    <w:p>
      <w:r>
        <w:t>A/1797/2008 - 7/8 - de chambre et doute qu'elle puisse exercer une autre activité en raison de l'évolution psychiatrique. Son appréciation, ainsi que les indications figurant dans son courrier du 9 avril 2008, ne permettent cependant pas au Tribunal de céans de s'écarter de celle du psychiatre du SMR. Il y a à cet égard lieu de relever que le Dr N___________, même s'il estime lui aussi que l'incapacité de travail de l'assurée est entière, limite, rétroactivement, la durée de cette incapacité à une période bien précise, soit du 1er juin au 30 septembre 2006. Par ailleurs, l'état de stress post- traumatique suspecté par le Dr P___________ n'a pas pu être confirmé.</w:t>
      </w:r>
    </w:p>
    <w:p>
      <w:r>
        <w:rPr>
          <w:b/>
        </w:rPr>
        <w:t>E. 9</w:t>
      </w:r>
    </w:p>
    <w:p>
      <w:r>
        <w:t>Aussi le recours, mal fondé, doit-il être rejeté.</w:t>
      </w:r>
    </w:p>
    <w:p>
      <w:r>
        <w:t>A/1797/2008 - 8/8 -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