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ATAS/118/2012 vom 15. Februar 2012</w:t>
      </w:r>
    </w:p>
    <w:p>
      <w:r>
        <w:t>GE Cour de justice, 2012-02-15, FR</w:t>
      </w:r>
    </w:p>
    <w:p>
      <w:r>
        <w:rPr>
          <w:b/>
        </w:rPr>
        <w:t xml:space="preserve">Quelle: </w:t>
      </w:r>
      <w:r>
        <w:t>https://mcp.opencaselaw.ch/entscheid/ge_gerichte_ATAS_118_2012</w:t>
      </w:r>
    </w:p>
    <w:p>
      <w:r>
        <w:t>FR: GE_GERICHTE ATAS/118/2012 du 15 février 2012</w:t>
      </w:r>
    </w:p>
    <w:p>
      <w:r>
        <w:t>IT: GE_GERICHTE ATAS/118/2012 del 15 febbraio 2012</w:t>
      </w:r>
    </w:p>
    <w:p>
      <w:pPr>
        <w:pStyle w:val="Heading2"/>
      </w:pPr>
      <w:r>
        <w:t>Volltext</w:t>
      </w:r>
    </w:p>
    <w:p>
      <w:r>
        <w:t>Siégeant : Juliana BALDE, Présidente; Christine LUZZATTO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A/4505/2011 ATAS/118/2012 COUR DE JUSTICE Chambre des assurances sociales Arrêt du 15 février 2012 4ème Chambre</w:t>
      </w:r>
    </w:p>
    <w:p>
      <w:r>
        <w:t>En la cause X__________ SA, Réparation &amp; Vente d'hélices, c/o Y___________ à Stans</w:t>
      </w:r>
    </w:p>
    <w:p>
      <w:r>
        <w:t>recourante</w:t>
      </w:r>
    </w:p>
    <w:p>
      <w:r>
        <w:t>contre CAISSE CANTONALE GENEVOISE DE COMPENSATION, sise, route de Chêne 54,1208 Genève</w:t>
      </w:r>
    </w:p>
    <w:p>
      <w:r>
        <w:t>intimée</w:t>
      </w:r>
    </w:p>
    <w:p>
      <w:r>
        <w:t>A/4505/2011 - 2/2 -</w:t>
      </w:r>
    </w:p>
    <w:p>
      <w:r>
        <w:t>Vu la décision du 30 novembre 2011 de la CAISSE CANTONALE GENEVOISE DE COMPENSATION (ci-après la caisse) fixant à 48 fr. la taxe de formation professionnelle pour 2011 pour X___________ SA (ci-après la société ou la recourante); Vu le recours interjeté le 21 décembre 2011 par la société ; Vu la réponse de la caisse du 30 janvier 2012 et ses explications ; Vu le courrier du 8 février 2012 de la recourante déclarant « annuler » son recours ;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