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ATAS/1189/2020 vom 9. Dezember 2020</w:t>
      </w:r>
    </w:p>
    <w:p>
      <w:r>
        <w:t>GE Cour de justice, 2020-12-09, FR</w:t>
      </w:r>
    </w:p>
    <w:p>
      <w:r>
        <w:rPr>
          <w:b/>
        </w:rPr>
        <w:t xml:space="preserve">Quelle: </w:t>
      </w:r>
      <w:r>
        <w:t>https://mcp.opencaselaw.ch/entscheid/ge_gerichte_ATAS_1189_2020</w:t>
      </w:r>
    </w:p>
    <w:p>
      <w:r>
        <w:t>FR: GE_GERICHTE ATAS/1189/2020 du 9 décembre 2020</w:t>
      </w:r>
    </w:p>
    <w:p>
      <w:r>
        <w:t>IT: GE_GERICHTE ATAS/1189/2020 del 9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du refus de l’intimé de verser au recourant l’indemnité en cas de RHT pour la période du 20 au 29 mars 2020.</w:t>
      </w:r>
    </w:p>
    <w:p>
      <w:r>
        <w:rPr>
          <w:b/>
        </w:rPr>
        <w:t>E. 4</w:t>
      </w:r>
    </w:p>
    <w:p>
      <w:r>
        <w:t>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w:t>
      </w:r>
    </w:p>
    <w:p>
      <w:r>
        <w:rPr>
          <w:b/>
        </w:rPr>
        <w:t>E. 5</w:t>
      </w:r>
    </w:p>
    <w:p>
      <w:r>
        <w:t>Pour lutter contre le COVID-19, le Conseil fédéral a pris une série de mesures urgentes en édictant l’ordonnance 2 COVID-19 le 13 mars 2020 qui interdisait les manifestations publiques ou privées accueillant simultanément 100 personnes (art. 6 al. 1) et qui limitait l’accueil dans les restaurants, les bars, les discothèques et les boîtes de nuit à 50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w:t>
      </w:r>
    </w:p>
    <w:p>
      <w:r>
        <w:rPr>
          <w:b/>
        </w:rPr>
        <w:t>E. 6</w:t>
      </w:r>
    </w:p>
    <w:p>
      <w:r>
        <w:t>Sur le plan cantonal, le Conseil d’État a adopté, le 18 mars 2020, l’arrêté concernant les chantiers qui prévoyait à son art. 1 que les chantiers devaient être complètement mis à l'arrêt d'ici le vendredi 20 mars 2020 à 12h et qu’aucune activité ne pouvait plus s'y dérouler, sous réserve de l'art. 3.</w:t>
      </w:r>
    </w:p>
    <w:p>
      <w:r>
        <w:t>A/1624/2020 - 4/8 - À teneur de son art. 6, l’arrêté est entré en vigueur le 18 mars 2020 à 14h (al. 1.). Ces mesures s’appliquaient jusqu'au 19 avril 2020, y compris. Elles pouvaient être prolongées en cas de besoin (al. 2). Cet arrêté a été abrogé par l'arrêté n. 2 d'application de l'ordonnance fédérale 2 sur les mesures destinées à lutter contre le COVID-19 et sur les mesures de protection de la population et de soutien aux entreprises face à la propagation du coronavirus COVID-19 du 25 mars 2020 (art. 11 al. 2), entré en vigueur le même jour (art. 12). L’art. 4 de l’arrêté n. 2 prévoit qu’aucun chantier ne peut être ouvert avant d’avoir adressé au service de l'inspection de la construction et des chantiers l'avis d'ouverture de chantier et l'attestation du respect des prescriptions émises par le SECO relatives à la prévention du COVID-19 en matière de chantiers, au moyen de la formule ad hoc (al. 1). Aucun chantier ne peut être poursuivi avant d’avoir adressé au service de l'inspection de la construction et des chantiers l'avis de poursuite de chantier et l'attestation du respect des prescriptions émises par le SECO relatives à la prévention du COVID-19 en matière de chantiers, au moyen de la formule ad hoc (al. 2).</w:t>
      </w:r>
    </w:p>
    <w:p>
      <w:r>
        <w:rPr>
          <w:b/>
        </w:rPr>
        <w:t>E. 7</w:t>
      </w:r>
    </w:p>
    <w:p>
      <w:r>
        <w:t>Le 20 mars 2020, le Conseil fédéral a adopté l’ordonnance COVID-19 assurance- 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1er mars 2020 (art. 9 al. 1), avec effet jusqu’au 31 août 2020 (art. 9 al. 2) ; L’art. 8b de l’ordonnance a été abrogé avec effet au 1er juin 2020 (RO 2020 1777). Les art. 3 et 6 de l’ordonnance ont été abrogés avec effet au 1er septembre 2020 (RO 2020 3569). Dans sa directive n. 6 du 9 avril 2020, le Secrétariat d’État à l’économie (ci-après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w:t>
      </w:r>
    </w:p>
    <w:p>
      <w:r>
        <w:t>A/1624/2020 - 5/8 -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w:t>
      </w:r>
    </w:p>
    <w:p>
      <w:r>
        <w:rPr>
          <w:b/>
        </w:rPr>
        <w:t>E. 8</w:t>
      </w:r>
    </w:p>
    <w:p>
      <w:r>
        <w:t>En l’espèce, lorsqu’il a déposé son préavis, le 30 mars 2020, le recourant ne devait plus respecter un délai de préavis de 10 jours avant d’introduire la RHT. Pendant cette période, la date de réception du préavis de RHT correspondait en effet au début de la RHT et par conséquent de l’indemnisation. En conséquence, c’est à bon droit que l’intimé a octroyé au recourant l’indemnité en cas de RHT dès le 30 mars 2020, soit dès le jour du dépôt de son préavis. Il ne pouvait faire rétroagir le versement de l’indemnité sur la base de la directive n. 6, celle-ci étant contraire au droit.</w:t>
      </w:r>
    </w:p>
    <w:p>
      <w:r>
        <w:rPr>
          <w:b/>
        </w:rPr>
        <w:t>E. 9</w:t>
      </w:r>
    </w:p>
    <w:p>
      <w:r>
        <w:t>a. Se pose encore la question de savoir si le recourant pourrait bénéficier du principe de l’égalité dans l’illégalité, à savoir s’il doit être traité de la même façon que les employeurs empêchés d’exercer leurs activités en application de l’ordonnance 2 COVID-19 ou de l’arrêté du Conseil d’État du 18 mars 2020, qui auraient bénéficié de la pratique instaurée par la directive n. 6. Le recourant a demandé l’indemnité en cas de RHT le 30 mars 2020. Il remplissait ainsi l’une des conditions prévues par la directive n. 6 pour se voir octroyer les indemnités en cas de RHT avec effet rétroactif. Le recourant gère une entreprise générale d’électricité, sanitaire et chauffage. Son activité n’était pas visée par l’obligation de fermer ordonnée le 17 mars 2020 par l’ordonnance 2 COVID-19, mais elle était en revanche concernée par l’obligation d’arrêter les chantiers ordonnée par le Conseil d’État genevois le 18 mars 2020. L’on pourrait dès lors sans doute retenir qu’il a dû cesser ses activités « en raison des mesures prises par les autorités », seconde condition prévue par la directive du SECO pour tenir compte des demandes avec effet rétroactif. Cette question peut toutefois rester ouverte en l’espèce, les conditions du principe de l’égalité dans l’illégalité n’étant pas réalisées.</w:t>
      </w:r>
    </w:p>
    <w:p>
      <w:r>
        <w:t>A/1624/2020 - 6/8 -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les intérêts publics ou privés prépondérants exigent que la loi soit appliquée strictement en l’espèce. Le droit à l’égalité dans l’illégalité présuppose donc que quatre conditions soient réalisées : - Une véritable pratique illégale : des cas isolés ou extraordinaires ne suffisent pas. En outre, la pratique illégale doit être le fait de l’autorité compétente pour l’affaire en cause. Une pratique illégale concernant le même domaine dans un autre canton ne fonde pas un droit à l’égalité dans l’illégalité. - La situation de celui qui réclame l’égalité doit être effectivement identique à celle de ceux qui ont bénéficié d’un traitement illégal. - Il doit être apparent que l’autorité n’entend pas revenir à une pratique conforme à la loi. En d’autres termes, il doit ressortir de l’attitude probable de l’autorité pour les cas semblables futurs que c’est la pratique légale qui constituerait une exception dans le cas d’espèce. - L’application au cas d’espèce du traitement illégal mais égal ne doit pas se heurter à un intérêt public ou privé prépondérant (Thierry TANQUEREL, Manuel de droit administratif, 2011, n. 599 et 600, pp. 202 et 203). c. En l’occurrence, en admettant la rétroactivité des demandes déposées jusqu’au 31 mars 2020, le SECO a adopté une pratique contraire à l’art. 8b de l’ordonnance COVID-19 assurance-chômage et à la non-rétroactivité des indemnités en cas de RHT au sens des art. 36 LACI et 58 OACI. L’intimé ayant indiqué à la chambre de céans ne pas avoir accordé rétroactivement des indemnités en cas de RHT à des employeurs ayant dû fermer en application de l’arrêté du Conseil d’État concernant les chantiers, les conditions d’application du principe de l’égalité dans l’illégalité ne sont pas remplies. En effet, le recourant n’a pas été traité différemment des autres entreprises genevoises actives dans la construction. Sa situation n’est en outre pas identique à celle des employeurs qui se sont vu octroyer les indemnités en cas de RHT avec effet rétroactif qui ont dû fermer leur établissement en application de l’ordonnance 2 COVID-19 le 17 mars</w:t>
      </w:r>
    </w:p>
    <w:p>
      <w:r>
        <w:t>A/1624/2020 - 7/8 - 2020, puisque sa situation n’était pas visée par cette ordonnance, qui n’a pas ordonné la fermeture des chantiers. Il n’y a donc pas lieu de reconnaître au recourant un droit rétroactif aux indemnités en cas de RHT.</w:t>
      </w:r>
    </w:p>
    <w:p>
      <w:r>
        <w:rPr>
          <w:b/>
        </w:rPr>
        <w:t>E. 10</w:t>
      </w:r>
    </w:p>
    <w:p>
      <w:r>
        <w:t>Le recours doit dès lors être rejeté et la décision sur opposition confirmée.</w:t>
      </w:r>
    </w:p>
    <w:p>
      <w:r>
        <w:rPr>
          <w:b/>
        </w:rPr>
        <w:t>E. 11</w:t>
      </w:r>
    </w:p>
    <w:p>
      <w:r>
        <w:t>La procédure est gratuite.</w:t>
      </w:r>
    </w:p>
    <w:p>
      <w:r>
        <w:t>A/1624/2020 - 8/8 -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