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ATAS/1186/2013 vom 3. Dezember 2013</w:t>
      </w:r>
    </w:p>
    <w:p>
      <w:r>
        <w:t>GE Cour de justice, 2013-12-03, FR</w:t>
      </w:r>
    </w:p>
    <w:p>
      <w:r>
        <w:rPr>
          <w:b/>
        </w:rPr>
        <w:t xml:space="preserve">Quelle: </w:t>
      </w:r>
      <w:r>
        <w:t>https://mcp.opencaselaw.ch/entscheid/ge_gerichte_ATAS_1186_2013</w:t>
      </w:r>
    </w:p>
    <w:p>
      <w:r>
        <w:t>FR: GE_GERICHTE ATAS/1186/2013 du 3 décembre 2013</w:t>
      </w:r>
    </w:p>
    <w:p>
      <w:r>
        <w:t>IT: GE_GERICHTE ATAS/1186/2013 del 3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Le litige porte uniquement sur les conditions d’une remise de l’obligation de restituer les prestations complémentaires, et singulièrement sur celle de la bonne foi.</w:t>
      </w:r>
    </w:p>
    <w:p>
      <w:r>
        <w:rPr>
          <w:b/>
        </w:rPr>
        <w:t>E. 4.1</w:t>
      </w:r>
    </w:p>
    <w:p>
      <w:r>
        <w:t>et les références citées). d.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w:t>
      </w:r>
    </w:p>
    <w:p>
      <w:r>
        <w:t>A/2209/2013 - 9/13 -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w:t>
      </w:r>
    </w:p>
    <w:p>
      <w:r>
        <w:rPr>
          <w:b/>
        </w:rPr>
        <w:t>E. 5</w:t>
      </w:r>
    </w:p>
    <w:p>
      <w:r>
        <w:t>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w:t>
      </w:r>
    </w:p>
    <w:p>
      <w:r>
        <w:t>A/2209/2013 - 7/13 -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Selon la jurisprudence, la violation du droit d'être entendu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w:t>
      </w:r>
    </w:p>
    <w:p>
      <w:r>
        <w:rPr>
          <w:b/>
        </w:rPr>
        <w:t>E. 6</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w:t>
      </w:r>
    </w:p>
    <w:p>
      <w:r>
        <w:t>A/2209/2013 - 8/13 -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du 17 avril 2008, 8C_766/2007, consid.</w:t>
      </w:r>
    </w:p>
    <w:p>
      <w:r>
        <w:rPr>
          <w:b/>
        </w:rPr>
        <w:t>E. 7</w:t>
      </w:r>
    </w:p>
    <w:p>
      <w:r>
        <w:t>a.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la décision de refus de remise du 11 avril 2013 respecte les exigences de motivation du Tribunal fédéral. Elle expose brièvement mais précisément les dispositions applicables et les conditions de la bonne foi, puis rappelle qu'elle ne peut pas être admise à l'égard d'un assuré qui n'avise pas l'autorité des changements dans sa situation, ou du fait que les montants figurant dans les décisions d'octroi ne correspondent pas à ceux effectivement perçus. Les décisions citent des extraits de l'arrêt du 19 juin 2012, afin d'exposer les faits qui ont permis au SPC de nier la bonne foi de l'assuré. S'agissant de l'absence de motivation de la décision quant à l'incidence de l'état de santé sur l'examen de la réalisation de la condition de la bonne foi, il ne s'agit pas d'une violation suffisamment grave qui ne pourrait pas être réparée devant la Chambre de céans. Le grief de la violation du droit d'être entendu et du double degré de juridiction est donc mal fondé.</w:t>
      </w:r>
    </w:p>
    <w:p>
      <w:r>
        <w:t>A/2209/2013 - 10/13 -</w:t>
      </w:r>
    </w:p>
    <w:p>
      <w:r>
        <w:rPr>
          <w:b/>
        </w:rPr>
        <w:t>E. 9</w:t>
      </w:r>
    </w:p>
    <w:p>
      <w:r>
        <w:t>S'agissant de l'examen de la condition de la bonne foi, il est établi que, lorsqu'il a demandé des prestations complémentaires en janvier 2000, l'assuré ne percevait pas encore de rente LPP et que son institution de prévoyance lui avait délivré un certificat de prévoyance projetant en 1999 une rente annuelle d'invalidité de CHF 8'210.-. Il a aussi été déterminé que l'assuré a toujours perçu une rente LPP trimestrielle de l'ordre de CHF 4'200.- versée la première fois en octobre 2000, de sorte qu'il n'y a en effet jamais eu d'augmentation ou de modification du montant de la rente versée. Comme déjà relevé dans l'arrêt du 19 juin 2012, il est donc compréhensible que l'assuré n'ait pas considéré qu'il y avait un changement de situation à annoncer en ce qui concernait le montant de sa rente LPP, ce d'autant qu'il avait commencé à la percevoir à la même période que les prestations complémentaires, versées dès novembre 2000 et que son revenu mensuel global avait toujours été sensiblement le même. Au surplus, il n'a jamais été prétendu que l'assuré aurait sciemment dissimulé le montant de cette rente, dans le but de se procurer un enrichissement illégitime, en ayant conscience et volonté d'obtenir une prestation indue, car dans un tel cas, le SPC aurait sans aucun doute notifié une décision de restitution portant sur une période de 10 ans, soit du 1er août 2001 au 30 juin 2011 en application de la prescription pénale de l'art 25 al. 2 LPGA. D'ailleurs, l'assuré a déclaré cette rente au fisc, ce qui, sans être un élément décisif à lui seul selon le Tribunal fédéral, tend à confirmer l'absence d'intention malicieuse. Cela ne suffit cependant pas pour admettre la réalisation de la condition de la bonne foi.</w:t>
      </w:r>
    </w:p>
    <w:p>
      <w:r>
        <w:rPr>
          <w:b/>
        </w:rPr>
        <w:t>E. 10</w:t>
      </w:r>
    </w:p>
    <w:p>
      <w:r>
        <w:t>En premier lieu, si le montant effectif des revenus de l'assuré n'a pas changé, le montant de la rente LPP projeté par l'institution de prévoyance et annoncé au SPC lors du dépôt de la demande le 14 janvier 2000 a bien été modifié avant la décision définitive du 12 janvier 2001. Il est possible que l'institution de prévoyance n'ait pas adressé à l'assuré un courrier l'informant du montant de la rente qui lui serait versée dès le 1er octobre 2000. Il est cependant exigible d'un assuré qu'il informe le SPC du montant de la rente LPP effectivement reçue pour la première fois le 10 octobre 2000 (CHF 4'200.- pour un trimestre), alors qu'il a personnellement transmis le 8 septembre 2000 le certificat de prévoyance en entourant la rubrique "rente annuelle d'invalidité : CHF 8'210.-" ne serait-ce que pour informer le SPC du montant réellement perçu, afin de s'assurer que la réalité correspond à la projection. Si l'assuré s'est peut-être totalement reposé sur son assistante sociale durant certaines périodes, il ressort du dossier qu'il a lui-même correspondu à plusieurs reprises avec le SPC, en des termes clairs et précis, en particulier les 28 septembre,</w:t>
      </w:r>
    </w:p>
    <w:p>
      <w:r>
        <w:rPr>
          <w:b/>
        </w:rPr>
        <w:t>E. 13</w:t>
      </w:r>
    </w:p>
    <w:p>
      <w:r>
        <w:t>Ainsi, force est de constater que c'est à juste titre que le SPC a nié la réalisation de la condition de la bonne foi. Cette condition n’étant pas réalisée, il n’est pas nécessaire d’examiner celle de la situation difficile pour le recourant. C'est donc à juste titre que l'intimé a rejeté la demande de remise formée par le recourant.</w:t>
      </w:r>
    </w:p>
    <w:p>
      <w:r>
        <w:rPr>
          <w:b/>
        </w:rPr>
        <w:t>E. 14</w:t>
      </w:r>
    </w:p>
    <w:p>
      <w:r>
        <w:t>Le recours, mal fondé, est rejeté.</w:t>
      </w:r>
    </w:p>
    <w:p>
      <w:r>
        <w:t>A/2209/2013 - 13/13 -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