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ATAS/1186/2012 vom 2. Oktober 2012</w:t>
      </w:r>
    </w:p>
    <w:p>
      <w:r>
        <w:t>GE Cour de justice, 2012-10-02, FR</w:t>
      </w:r>
    </w:p>
    <w:p>
      <w:r>
        <w:rPr>
          <w:b/>
        </w:rPr>
        <w:t xml:space="preserve">Quelle: </w:t>
      </w:r>
      <w:r>
        <w:t>https://mcp.opencaselaw.ch/entscheid/ge_gerichte_ATAS_1186_2012</w:t>
      </w:r>
    </w:p>
    <w:p>
      <w:r>
        <w:t>FR: GE_GERICHTE ATAS/1186/2012 du 2 octobre 2012</w:t>
      </w:r>
    </w:p>
    <w:p>
      <w:r>
        <w:t>IT: GE_GERICHTE ATAS/1186/2012 del 2 ottobre 2012</w:t>
      </w:r>
    </w:p>
    <w:p>
      <w:pPr>
        <w:pStyle w:val="Heading2"/>
      </w:pPr>
      <w:r>
        <w:t>Erwägungen</w:t>
      </w:r>
    </w:p>
    <w:p>
      <w:r>
        <w:rPr>
          <w:b/>
        </w:rPr>
        <w:t>E. 18</w:t>
      </w:r>
    </w:p>
    <w:p>
      <w:r>
        <w:t>La cause a été gardée à juger le 13 septembre 2012.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w:t>
      </w:r>
    </w:p>
    <w:p>
      <w:r>
        <w:t>A/1559/2012 - 8/15 -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 5. Le litige porte sur le droit de l'assuré à une rente d'invalidité, singulièrement sur le caractère invalidant de sa pathologie.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A/1559/2012 - 9/15 -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w:t>
      </w:r>
    </w:p>
    <w:p>
      <w:r>
        <w:rPr>
          <w:b/>
        </w:rPr>
        <w:t>E. 19</w:t>
      </w:r>
    </w:p>
    <w:p>
      <w:r>
        <w:t>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A teneur de la jurisprudence constante du Tribunal fédéral, une dépendance comme l’alcoolisme, la pharmacodépendance ou la toxicomanie ne constitue pas en soi une</w:t>
      </w:r>
    </w:p>
    <w:p>
      <w:r>
        <w:t>A/1559/2012 - 10/15 -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w:t>
      </w:r>
    </w:p>
    <w:p>
      <w:r>
        <w:t>A/1559/2012 - 11/15 -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9.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d'une expertise,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b) Selon l’art. 59 al.2bis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Le Tribunal fédéral rappelle que les nouveaux articles 59 al. 2bis LAI et 49 RAI adoptés lors de la 5ème révision AI visent à ce que l’AI aient à disposition ses propres médecins en vue d’apprécier les conditions médicales du droit aux prestations. Ceux-ci peuvent en raison de leur connaissances médicales spécialisées se déterminer pour l’AI sur la capacité fonctionnelle des assurés. Ainsi, est-il possible de séparer les compétences entre le médecin traitant (traitement médical) et l’assurance sociale (conséquence de l’atteinte à la santé sur la capacité de travail). Toutefois, l’on ne peut se baser sur une appréciation du SMR que si celle- ci remplit les conditions relatives à la valeur probante des rapports médicaux, soit en particulier, en prenant en compte l’anamnèse, en décrivant la situation médicale et ses conséquences; par ailleurs, les conclusions doivent être motivées (ATF 125 V 351). Il n’est toutefois pas nécessaire que l’assuré soit examiné par les médecins du SMR; ceux-ci ne le font que « au besoin » (49 al. 2 RAI). Dans les autres cas, ils se déterminent sur la base des pièces médicales au dossier. A cet égard, le fait qu’ils</w:t>
      </w:r>
    </w:p>
    <w:p>
      <w:r>
        <w:t>A/1559/2012 - 12/15 - n’aient pas procédé à un examen médical n’est pas un motif pour remettre en question leur appréciation (ATF non publié 9C_323/2009 du 14 juillet 2009).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(ATF non publié 9C_ 578/2009 du 29 décembre 2009 consid. 3.2 in fine), de sorte que cet avis ne peut pas être placé sur le même pied qu'un rapport d’expertise émanant d’un COMAI – dont la jurisprudence a admis que l’impartialité et l’indépendance (ATF 123 V 175).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A/1559/2012 - 13/15 -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11. En l'espèce, l'assuré estime qu'une expertise doit être ordonnée afin de déterminer s'il souffre d'un trouble psychique qui est à l'origine de son addiction et qui, en tant que tel, est invalidant ou si, à l'inverse, l'addiction a eu comme conséquences une maladie psychique ou somatique ayant des conséquences sur sa capacité de travail. Ce faisant, l'assuré ne tient pas compte de la jurisprudence restrictive du Tribunal fédéral à cet égard. La divergence d'opinion entre SMR et médecin-traitant ne justifie pas, en soi, d'ordonner une telle expertise. Encore faut-il que le médecin traitant fasse état d'éléments circonstanciés et probants qui laissent subsister un doute quant à l'appréciation du SMR. Or, celui-ci se fonde sur l'ensemble des rapports d'hospitalisation de l'assuré depuis 2000, qui indiquent tous que l'assurée ne souffre d'aucun trouble psychique à l'origine de son addiction, que son état dépressif - moyen - s'amende en période de sevrage, que ce dernier se fait sans difficulté et que l'assuré ne présente aucun trouble psychique ou somatique, notamment pas neurologique, en période d'abstinence. En outre, bien que le rapport des HUG du 2 août 2012 ne soit pas une expertise, il est probant. Il est fondé sur l'ensemble du dossier médical de l'assuré auprès des HUG où celui-ci a été hospitalisé 6 fois de 2008 à 2012. Ainsi, du 9 mars au 23 mai 2012, il était hospitalisé dans le service d'addictologie en question et traité par un médecin supervisé par la cheffe de clinique signataire du rapport. L'assuré ne peut donc pas raisonnablement mettre en doute que celle-ci a une connaissance complète du dossier, de l'anamnèse et des plaintes du patient (éléments nécessairement recueillis durant plus de 2 mois de séjour) pour pouvoir donner un avis circonstancié sur les diagnostics psychiatriques déterminants pour la présente cause. Il va de soi que le dossier sur lequel elle se base est celui des HUG, qui contient les rapports des médecins, les analyses médicales et les examens spécialisés. Or, si l'assuré souffrait d'un trouble psychique invalidant et distinct de celui d'alcolodépendance, il aurait nécessairement été diagnostiqué après plus de 2 mois d'hospitalisation et/ou lors des précédents séjours. De même, la doctoresse confirme qu'en période d'abstinence, l'assuré ne présente aucun trouble psychique invalidant, sur la base des constatations faites. Les examens neuropsychologiques effectués ont permis d'exclure l'existence de troubles psychiques ou physiques affectant la</w:t>
      </w:r>
    </w:p>
    <w:p>
      <w:r>
        <w:t>A/1559/2012 - 14/15 - capacité de travail. Ce rapport est similaire à celui des HUG du 16 mars 2009, cosigné par le médecin traitant en charge du patient et deux chefs de clinique. De surcroît, aucun autre avis spécialisé n'établit que l'assuré souffrirait d'un trouble psychique invalidant causant l'alcoolo-dépendance, ni d'un trouble consécutif à celle-ci. Son médecin traitant, qui n'est pas psychiatre, se borne à affirmer que des troubles physiques et psychiques découlent de cette dépendance à l'alcool, sans mentionner lesquels, ni leur gravité, ni leurs effets sur la capacité de travail de l'assuré. L'examen neurologique effectué par le Dr M___________ est dans les limites de la norme, ce qui signifie dans le jargon habituel qu'il est normal. Si un neurologue décèle un trouble, il le mentionne expressément. A l'évidence, le terme de maladie utilisé dans le cadre pénal par des témoins et le juge instructeur à propos de l'alcoolisme ne permet pas d'établir l'existence d'une maladie psychiatrique invalidante distincte. De même, un témoignage isolé selon lequel lors d'un épisode agressif, l'assuré ne sentait pas l'alcool ne permet pas de remettre en cause les constatations de médecins spécialisés durant plus de deux mois d'hospitalisation, qui démontrent sa capacité d'abstinence et l'absence de troubles du comportement (et donc de violence) lors de l'abstinence. Il ne se justifie donc pas d'ordonner un expertise, les divers rapports des HUG et celui du SMR étant probants. Le fait que la Dresse R___________ relève que l'assuré ne parvient pas à maintenir son abstinence n'implique pas l'existence d'une pathologie psychique antérieure ou consécutive, d'une gravité suffisante pour être invalidante au sens de la jurisprudence. Pour finir, il n'est ni contesté ni contestable que l'alcoolo-dépendance de l'assuré implique une totale incapacité de travail ainsi que des comportements violents et/ou propres à mettre en danger sa vie et celle d'autrui (incendies, etc.). C'est toutefois le cas de toutes les dépendances à des substances qui, lorsqu'elles sont consommées, entravent l'ensemble des capacités nécessaires à l'activité professionnelle, qu'il s'agisse de capacités manuelles ou intellectuelles. Cela n'est toutefois pas suffisant, au regard de la jurisprudence du Tribunal fédéral, pour admettre une invalidité. 12. Au vu de ce qui précède, le recours sera rejeté. Etant donné que depuis le 1er juillet 2006, la procédure n'est plus gratuite (art. 69 al. 1bis LAI), il y a lieu de condamner le recourant au paiement d'un émolument de 200 fr.</w:t>
      </w:r>
    </w:p>
    <w:p>
      <w:r>
        <w:t>A/1559/2012 - 15/15 -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