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ATAS/1186/2011 vom 30. November 2011</w:t>
      </w:r>
    </w:p>
    <w:p>
      <w:r>
        <w:t>GE Cour de justice, 2011-11-30, FR</w:t>
      </w:r>
    </w:p>
    <w:p>
      <w:r>
        <w:rPr>
          <w:b/>
        </w:rPr>
        <w:t xml:space="preserve">Quelle: </w:t>
      </w:r>
      <w:r>
        <w:t>https://mcp.opencaselaw.ch/entscheid/ge_gerichte_ATAS_1186_2011</w:t>
      </w:r>
    </w:p>
    <w:p>
      <w:r>
        <w:t>FR: GE_GERICHTE ATAS/1186/2011 du 30 novembre 2011</w:t>
      </w:r>
    </w:p>
    <w:p>
      <w:r>
        <w:t>IT: GE_GERICHTE ATAS/1186/2011 del 30 novembre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La compétence de la Cour de céans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Les délais fixés par la loi ne courent pas du 15 juillet au 15 août inclusivement (art. 38 al. 4 LPGA). b) En l’espèce, le recours a été déposé dans les forme et délai imposés par la loi, de sorte qu’il est recevable.</w:t>
      </w:r>
    </w:p>
    <w:p>
      <w:r>
        <w:rPr>
          <w:b/>
        </w:rPr>
        <w:t>E. 3</w:t>
      </w:r>
    </w:p>
    <w:p>
      <w:r>
        <w:t>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w:t>
      </w:r>
    </w:p>
    <w:p>
      <w:r>
        <w:t>A/543/2011 - 4/5 -</w:t>
      </w:r>
    </w:p>
    <w:p>
      <w:r>
        <w:rPr>
          <w:b/>
        </w:rPr>
        <w:t>E. 4</w:t>
      </w:r>
    </w:p>
    <w:p>
      <w:r>
        <w:t>Le litige porte uniquement sur la question de savoir si c’est à juste titre que l’intimé n’a fait rétroagir qu’au 1er mai 2010 la diminution de fortune de sa bénéficiaire.</w:t>
      </w:r>
    </w:p>
    <w:p>
      <w:r>
        <w:rPr>
          <w:b/>
        </w:rPr>
        <w:t>E. 5</w:t>
      </w:r>
    </w:p>
    <w:p>
      <w:r>
        <w:t>La prestation complémentaire annuelle doit être augmentée, réduite ou supprimée notamment lorsque la fortune subit une diminution ou une augmentation pour une durée qui sera vraisemblablement longue ; est déterminante la fortune existant à la date à laquelle le changement intervient (art. 25 al. 1 let. c de l’ordonnance sur les prestations complémentaires à l’assurance-vieillesse, survivants et invalidité [OPC- AVS/AI ; RS 831.30]). En cas de diminution de fortune, la nouvelle décision doit porter effet dès le début du mois au cours duquel le changement a été annoncé mais au plus tôt à partir du mois dans lequel celui-ci est survenu (art. 25 al. 2 let. b OPC). Enfin, il est précisé que, suite à une diminution de fortune, un nouveau calcul de la prestation complémentaire annuelle ne peut être effectué qu’une fois par an (art. 25 al. 3 OPC).</w:t>
      </w:r>
    </w:p>
    <w:p>
      <w:r>
        <w:rPr>
          <w:b/>
        </w:rPr>
        <w:t>E. 6</w:t>
      </w:r>
    </w:p>
    <w:p>
      <w:r>
        <w:t>En l’espèce, au vu des dispositions légales susmentionnées, il apparait que c’est manifestement à juste titre que l’intimé n’a pas fait rétroagir la diminution de fortune annoncée en mai 2010 au mois de février 2010 comme le demande la recourante, étant précisé qu’ainsi que l’a relevé l’intimé, ce dernier a dérogé à la loi en faveur de sa bénéficiaire en acceptant de procéder à deux nouveaux calculs en cours d’année. Le recours ne peut donc qu’être rejeté comme manifestement infondé.</w:t>
      </w:r>
    </w:p>
    <w:p>
      <w:r>
        <w:t>A/543/2011 - 5/5 -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