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ATAS/1186/2008 vom 23. Oktober 2008</w:t>
      </w:r>
    </w:p>
    <w:p>
      <w:r>
        <w:t>GE Cour de justice, 2008-10-23, FR</w:t>
      </w:r>
    </w:p>
    <w:p>
      <w:r>
        <w:rPr>
          <w:b/>
        </w:rPr>
        <w:t xml:space="preserve">Quelle: </w:t>
      </w:r>
      <w:r>
        <w:t>https://mcp.opencaselaw.ch/entscheid/ge_gerichte_ATAS_1186_2008</w:t>
      </w:r>
    </w:p>
    <w:p>
      <w:r>
        <w:t>FR: GE_GERICHTE ATAS/1186/2008 du 23 octobre 2008</w:t>
      </w:r>
    </w:p>
    <w:p>
      <w:r>
        <w:t>IT: GE_GERICHTE ATAS/1186/2008 del 23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applicables au droit à la rente dès le 1er janvier 2004.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La décision sur opposition date du 12 janvier 2007 et le recours du 9 février 2007 de sorte que ce dernier a été formé en temps utile (art. 39 al. 1 et 60 al. 2 LPGA). Interjeté dans la forme et le délai prévus par la loi, le recours est recevable.</w:t>
      </w:r>
    </w:p>
    <w:p>
      <w:r>
        <w:t>A/487/2007 - 11/18 -</w:t>
      </w:r>
    </w:p>
    <w:p>
      <w:r>
        <w:rPr>
          <w:b/>
        </w:rPr>
        <w:t>E. 4</w:t>
      </w:r>
    </w:p>
    <w:p>
      <w:r>
        <w:t>Le litige porte sur la question de savoir si l'état de santé du recourant s'est modifié de manière à influencer son droit à la rente.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6</w:t>
      </w:r>
    </w:p>
    <w:p>
      <w:r>
        <w:t>Le principe selon lequel l'administration peut en tout temps revenir d'office sur une décision formellement passée en force qui n'a pas donné lieu à un jugement sur le fond, lorsque celle-ci est certainement erronée et que sa rectification revêt une</w:t>
      </w:r>
    </w:p>
    <w:p>
      <w:r>
        <w:t>A/487/2007 - 12/18 - importance appréciable, l'emporte sur la procédure de révision. Ainsi, l'administration peut aussi modifier une décision de rente lorsque les conditions de la révision selon l'art. 17 LPGA ne sont pas remplies (ATF 125 V 369 consid. 2 et les arrêts cités; cf. aussi ATF 112 V 373 consid. 2c et 390 consid. 1b). Si le juge est le premier à constater que la décision initiale était manifestement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du 18 octobre 2007, 9C _575/2007, consid. 2.2 et du 7 mai 2007, I 907/06, consid. 3.2.1).</w:t>
      </w:r>
    </w:p>
    <w:p>
      <w:r>
        <w:rPr>
          <w:b/>
        </w:rPr>
        <w:t>E. 7</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l'art. 53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w:t>
      </w:r>
    </w:p>
    <w:p>
      <w:r>
        <w:t>A/487/2007 - 13/18 -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lorsque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l'autorité. Il n'y a pas non plus motif à révision du seul fait que celle-ci paraît avoir mal interprété des faits connus déjà lors de la procédure principale. L'appréciation inexacte doit être, bien plutôt, la conséquence de l'ignorance ou de l'absence de preuve de faits essentiels pour la décision (ATF 127 V 358 consid. 5b, 110 V 141 consid. 2, 293 consid. 2a, 108 V 171 consid. 1; cf. aussi ATF 118 II 205 consid. 5). Ces notions, applicables à la révision des décisions rendues par les autorités judiciaires, le sont également lorsque l'administration est tenue de procéder à la révision d'une décision entrée en force formelle (cf. ATF 127 V 469 consid. 2c et les références).</w:t>
      </w:r>
    </w:p>
    <w:p>
      <w:r>
        <w:rPr>
          <w:b/>
        </w:rPr>
        <w:t>E. 8</w:t>
      </w:r>
    </w:p>
    <w:p>
      <w:r>
        <w:t>En l'espèce, le recourant soutient que son état de santé ne s’est pas amélioré, voire s’est aggravé depuis l’octroi de la rente en 1997. Pour sa part, l’intimé justifie la suppression de la demi-rente allouée à l'assuré par la disparition de toute incapacité de travail depuis 1999. Le 9 septembre 1997, date à laquelle l'OCAI a octroyé à l'assuré une rente entière du 1er janvier au 31 mars 1996, puis une demi-rente dès le 1er avril 1996 fondée sur un degré d’invalidité de 50 %, le Dr N_________, dans son avis du 23 août 1996, admettait une capacité de travail de 50 % dans le métier de menuisier eu égard aux conclusions de l’expertise du Dr L_________ en date du 27 février 1996 et réservait un réexamen après six mois au motif qu’on pouvait exiger de l’assuré un taux d’activité d’au moins 75 %. Dans son rapport d’expertise du 6 novembre 1996, le Dr L_________ considérait en effet qu’une reprise du travail à 100 % devrait être possible un mois après le début du traitement d’ergothérapie destiné à traiter les douleurs résiduelles et l’appréhension.</w:t>
      </w:r>
    </w:p>
    <w:p>
      <w:r>
        <w:t>A/487/2007 - 14/18 - Pour sa part, dans un rapport du 11 mars 1997, le Dr M_________ attestait une incapacité de travail de 50 % dès le 11 mars 1996 avec un épisode à 100 % du</w:t>
      </w:r>
    </w:p>
    <w:p>
      <w:r>
        <w:rPr>
          <w:b/>
        </w:rPr>
        <w:t>E. 9</w:t>
      </w:r>
    </w:p>
    <w:p>
      <w:r>
        <w:t>septembre 1997. A l'époque déjà, il y avait de forts doutes quant à la persistance d’une incapacité de travail du recourant au-delà du 1er janvier 1997. En effet, en novembre 1996, le Dr L_________ concluait à une capacité de travail entière après le début d’un traitement d’ergothérapie, le Dr W________ admettait une capacité de travail de 50 % dès le 1er avril 1996 avec réexamen en février 1997 afin de déterminer si une amélioration était survenue. En mars 1997, le Dr M_________ attestait une incapacité de travail de 50 % dès le 11 mars 1996 avec un épisode à 100 % du 9 mai au 30 juin 1996. Il relevait toutefois que les plaintes du patient étaient difficilement objectivables, que les radiographies montraient une fracture consolidée, que, cliniquement, on constatait une récupération des amplitudes articulaires du genou et de la cheville ainsi que d’une musculature symétrique. Au vu des appréciations divergentes des médecins, en septembre 1997, quant à la capacité résiduelle de travail du recourant et des doutes existants sur ce point, il n’était pas manifestement erroné au sens de la jurisprudence d'accorder au recourant une demi-rente d’invalidité dès lors qu’il ne connaissait pas les résultats du stage professionnel qui lui aurait permis de trancher lesdits doutes. Par conséquent, on ne saurait reprocher à l'organe de l'assurance-invalidité, à la date de la décision initiale de rente, d'avoir usé de manière manifestement erronée de son pouvoir d'appréciation.</w:t>
      </w:r>
    </w:p>
    <w:p>
      <w:r>
        <w:rPr>
          <w:b/>
        </w:rPr>
        <w:t>E. 10</w:t>
      </w:r>
    </w:p>
    <w:p>
      <w:r>
        <w:t>En revanche, le rapport des HUG du 31 juillet 1998 constituait manifestement un moyen de preuve nouveau susceptible d'entraîner une révision procédurale de la décision initiale puisqu’il établissait que, lors du stage effectué durant le premier semestre 1997, les problèmes du recourant n’étaient pas dus aux séquelles de la fracture de jambe mais à une question de marché du travail. La révision procédurale est soumise aux délais prévus par l'art. 67 de la loi fédérale sur la procédure administrative (PA) - applicable par renvoi de l'art. 55 al. 1 LPGA -, à savoir un délai relatif de nonante jours dès la découverte du motif de révision et un délai absolu de dix ans qui commence à courir avec la notification de la décision (HAVE 2005 p. 242, consid. 1; ATFA non publié du 3 août 2007, I 528/06, consid. 4.2). En outre, pour déterminer le moment de la découverte du motif de révision, il ne faut pas se fonder sur la connaissance effective (subjective)</w:t>
      </w:r>
    </w:p>
    <w:p>
      <w:r>
        <w:t>A/487/2007 - 17/18 - par le représentant légal mandaté ultérieurement, mais il faut examiner à partir de quand la personne habilitée à demander la révision a pu avoir connaissance du motif de révision (REAS 2005 p. 242; ATFA non publié du 13 mars 2007, U 120/06 consid. 4.1). En l’espèce, bien que l’intimé ait eu connaissance de ce rapport le 8 août 1998, il n’a procédé à la révision de sa décision qu’en 2005 de sorte qu’il n’a pas agi dans le délai de 90 jours dès la connaissance du fait nouveau établissant que le recourant avait un simple problème de placement. On peut même reprocher à l’intimé de n’avoir rien entrepris pour avoir connaissance des conclusions du stage avant de rendre sa décision d’octroi de rente dès lors que le stage était terminé depuis le mois de juin 1997. Par conséquent, il ne serait pas davantage en droit de procéder à la révision de la rente en raison des conclusions du rapport de stage professionnel.</w:t>
      </w:r>
    </w:p>
    <w:p>
      <w:r>
        <w:rPr>
          <w:b/>
        </w:rPr>
        <w:t>E. 11</w:t>
      </w:r>
    </w:p>
    <w:p>
      <w:r>
        <w:t>Au vu de ce qui précède, le recours sera admis et les décisions des 27 juin 2005 et</w:t>
      </w:r>
    </w:p>
    <w:p>
      <w:r>
        <w:rPr>
          <w:b/>
        </w:rPr>
        <w:t>E. 12</w:t>
      </w:r>
    </w:p>
    <w:p>
      <w:r>
        <w:t>janvier 2007 annulées. Le recourant obtenant gain de cause, une indemnité de 2’000 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A/487/2007 - 18/18 -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