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ATAS/1185/2019 vom 3. Dezember 2019</w:t>
      </w:r>
    </w:p>
    <w:p>
      <w:r>
        <w:t>GE Cour de justice, 2019-12-03, FR</w:t>
      </w:r>
    </w:p>
    <w:p>
      <w:r>
        <w:rPr>
          <w:b/>
        </w:rPr>
        <w:t xml:space="preserve">Quelle: </w:t>
      </w:r>
      <w:r>
        <w:t>https://mcp.opencaselaw.ch/entscheid/ge_gerichte_ATAS_1185_2019</w:t>
      </w:r>
    </w:p>
    <w:p>
      <w:r>
        <w:t>FR: GE_GERICHTE ATAS/1185/2019 du 3 décembre 2019</w:t>
      </w:r>
    </w:p>
    <w:p>
      <w:r>
        <w:t>IT: GE_GERICHTE ATAS/1185/2019 del 3 dicembre 2019</w:t>
      </w:r>
    </w:p>
    <w:p>
      <w:pPr>
        <w:pStyle w:val="Heading2"/>
      </w:pPr>
      <w:r>
        <w:t>Erwägungen</w:t>
      </w:r>
    </w:p>
    <w:p>
      <w:r>
        <w:rPr>
          <w:b/>
        </w:rPr>
        <w:t>E. 4</w:t>
      </w:r>
    </w:p>
    <w:p>
      <w:r>
        <w:t>a. Aux termes de l'art. 25 al. 2 de la loi fédérale sur la partie générale du droit des assurances sociales du 6 octobre 2000 (LPGA ; RS 830.1), le droit de demander la restitution s'éteint un an après le moment où l'institution d'assurance a eu connaissance du fait, mais au plus tard cinq ans après le versement de la prestation. Le même délai s'applique aux prétentions en restitution fondées sur l'art. 56 al. 2 LAMal (ATF 133 V 579 consid. 4.1). Il s'agit d'une question qui doit être examinée d'office par le juge saisi d'une demande de restitution (ATFA non publié K 9/00 du 24 avril 2003, consid. 2). Avant l'entrée en vigueur de la LPGA en date du 1er janvier 2003, l'art. 47 al. 2 de la loi fédérale sur l’assurance-vieillesse et survivants du 20 décembre 1946 (LAVS ; RS 831.10) était applicable par analogie pour ce qui concerne la prescription des prétentions en restitution, selon la jurisprudence (ATF 103 V 145 consid. 3). Cette disposition avait la même teneur que l'art. 25 al. 2 LPGA, de sorte que l'ancienne jurisprudence concernant la prescription reste valable. Selon celle-ci, il s'agit de délais de péremption (ATF 119 V 431 consid. 3a). L'expiration de ce délai est empêché lorsque les assureurs-maladie introduisent une demande par- devant l'organe conventionnel, l'instance de conciliation légale ou le Tribunal arbitral, dans le délai d'une année à partir du moment où les statistiques déterminantes sont portées à la connaissance des assureurs suisses (ATFA non publié K 124/03 du 16 juin 2004, consid. 5.2 ; RAMA 2003, p. 218, consid. 2.2.1). Selon le Tribunal fédéral, il n'est pas inexact, faute d'éléments contraires, de retenir comme point de départ du délai de péremption d'une année la date figurant sur les documents intitulés "préparation des données" et correspondant à la prise de connaissance par les caisses-maladie des statistiques légitimant leurs réclamations (ATF non publié 9C_968/2009 du 15 décembre 2010, consid. 2.3; ATF non publié 9C_205/2008 du 19 décembre 2008, consid. 2.2). b.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ATF 125 V 195 consid. 2 et les références ; ATF 130 III 324 consid. 3.2 et 3.3). Aussi n’existe-t-il pas, en droit des assurances sociales, un principe selon lequel l’administration ou le juge devrait statuer, dans le doute, en faveur de l’assuré (ATF 126 V 322 consid. 5a).</w:t>
      </w:r>
    </w:p>
    <w:p>
      <w:r>
        <w:t>A/2596/2019 - 8/18 - En l’espèce, selon les pièces produites, les statistiques concernant l'année 2017 ont été portées à la connaissance des demanderesses le 17 juillet 2018, soit la date figurant sur les documents intitulés « préparation des données ». La demande a été déposée le 8 juillet 2019 selon le timbre postal, de sorte que le délai d’une année a été respecté.</w:t>
      </w:r>
    </w:p>
    <w:p>
      <w:r>
        <w:rPr>
          <w:b/>
        </w:rPr>
        <w:t>E. 5</w:t>
      </w:r>
    </w:p>
    <w:p>
      <w:r>
        <w:t>a. Le point de savoir si une partie a la qualité pour agir (ou légitimation active) ou la qualité pour défendre (légitimation passive) - question qui est examinée d'office (ATF 110 V 347 consid. 1; ATF non publié 9C_40/2009 du 27 janvier 2010, consid. 3.2.1) - se détermine selon le droit applicable au fond, également pour la procédure de l'action soumise au droit public. En principe, c'est le titulaire du droit en cause qui est autorisé à faire valoir une prétention en justice de ce chef, en son propre nom, tandis que la qualité pour défendre appartient à celui qui est l'obligé du droit et contre qui est dirigée l'action du demandeur (RSAS 2006 p. 46; cf. ATF 125 III 82 consid. 1a). La qualité pour agir et pour défendre ne sont pas des conditions de procédure, dont dépendrait la recevabilité de la demande, mais constituent des conditions de fond du droit exercé. Leur défaut conduit au rejet de l'action, qui intervient indépendamment de la réalisation des éléments objectifs de la prétention du demandeur, et non pas à l'irrecevabilité de la demande (SVR 2006 BVG n° 34 p. 131; cf. ATF 126 III 59 consid. 1 et ATF 125 III 82 consid. 1a). b. Selon l'art. 56 al. 2 let. b LAMal, ont qualité pour demander la restitution les assureurs dans le système du tiers-payant. Selon la jurisprudence, il s'agit de l'assureur qui a effectivement pris en charge la facture. Par ailleurs, les assureurs, représentés le cas échéant par leur fédération, sont habilités à introduire une action collective à l'encontre du fournisseur de prestations, sans spécifier pour chaque assureur les montants remboursés. Ainsi, il ne saurait être question, dans le cadre de l'art. 56 al. 2 let. a LAMal, d'exiger de chaque assureur maladie séparément qu'il entame une action en restitution du trop-perçu contre le fournisseur de prestations en cause; les assureurs - représentés cas échéant par SANTÉSUISSE - peuvent introduire une demande globale de restitution à l'encontre d'un fournisseur de prestations et, à l'issue de la procédure, se partager le montant obtenu au titre de restitution de rétributions perçues sans droit (ATF 127 V 281 consid. 5d). Le fait d'agir collectivement, par l'intermédiaire d'un représentant commun et de réclamer une somme globale qui sera répartie à la fin de la procédure ne contrevient donc pas au droit fédéral (ATF 136 V 415 consid. 3.2). Il est dès lors sans importance que certains assureurs n'aient remboursé aucun montant pendant une période déterminée. Ils ne participeront pas au partage interne (ATFA non publié K 6/06 du</w:t>
      </w:r>
    </w:p>
    <w:p>
      <w:r>
        <w:rPr>
          <w:b/>
        </w:rPr>
        <w:t>E. 9</w:t>
      </w:r>
    </w:p>
    <w:p>
      <w:r>
        <w:t>Sans remettre en cause le principe de la libre appréciation des preuves, le Tribunal fédéral a posé des lignes directrices en ce qui concerne la manière d’apprécier certains types d’expertises ou de rapports médicaux. Ainsi, le juge ne s’écarte en principe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w:t>
      </w:r>
    </w:p>
    <w:p>
      <w:r>
        <w:rPr>
          <w:b/>
        </w:rPr>
        <w:t>E. 10</w:t>
      </w:r>
    </w:p>
    <w:p>
      <w:r>
        <w:t>juillet, 15 août et 23 août 2018 (pièce D n° 9).</w:t>
      </w:r>
    </w:p>
    <w:p>
      <w:r>
        <w:t>A/2596/2019 - 13/18 - Santésuisse explique que « La nouvelle analyse de régression en deux étapes (ci-après : analyse de régression) est le développement de la méthode ANOVA reconnue par la jurisprudence du Tribunal fédéral. Tant la nouvelle méthode de screening que la méthode ANOVA sont basées sur une analyse de régression, soit une procédure standard reconnue dans la statistique descriptive. La première étape a pour but de quantifier la part des coûts totaux par malade qui ne peut s'expliquer par des critères de morbidité par rapport aux coûts moyens d'un médecin du même groupe spécialisé de médecins en Suisse. À la différence de la méthode ANOVA, l'analyse de régression inclut non seulement, comme par le passé, les critères de morbidité de l'âge et du sexe, mais également, en plus - afin d'optimiser la méthode de screening statistique - les critères « franchise à option », « séjour dans un hôpital ou dans un établissement médico-social l'année précédente » ainsi que les « PCG ». Ces critères choisis ne peuvent pas être influencés par le médecin, mais représentent le profil clinique de ses patients. Dans ce cadre, ce n'est pas l'effet d'un critère individuel sur les coûts de traitement d'un médecin qui est déterminant, mais l'addition de leurs influences indépendantes les unes des autres. Lors de la deuxième étape de l'analyse de régression, le solde des coûts inexplicables du médecin en question est corrigé par deux critères supplémentaires. Il s'agit, d'une part, du critère du canton d'établissement du cabinet médical (en raison des différences de valeur du point tarifaire TARMED, des coûts de loyer et de personnel, etc.), au demeurant déjà pris en considération dans la méthode ANOVA, et, d'autre part, de critères spécifiques liés à la spécialisation du groupe de médecins. Avec ces derniers critères, il est tenu compte du fait que certains groupes spécialisés de médecins fournissent typiquement des prestations plus chères que d'autres. Il s'agit de facteurs qui sont constants par médecin et qui ne varient ainsi pas au sein d'une communauté de patients. Après ces corrections, on obtient la part des coûts par malade qui est potentiellement non économique. À partir de l'effet du cabinet médical ainsi épuré en deux étapes, on calcule ensuite, au moyen de l'analyse de régression, un indice, appelé indice de régression. Cet indice démontre par combien de points de pourcentage les coûts par malade d'un médecin diffèrent des coûts moyens du groupe de comparaison. Les médecins qui dépassent la valeur moyenne de l'indice de 100 points de manière significative sont considérés comme statistiquement hors norme. Pour tous les types de coûts (coûts totaux, coûts directs du médecin, coûts directs et indirects de pharmacies, de laboratoires et de LiMA ainsi que des physiothérapies prescrites), une analyse de régression propre avec des indices séparés est effectuée. Pour l'examen de l'économicité (polypragmasie), c'est l'indice des coûts totaux qui est déterminant ».</w:t>
      </w:r>
    </w:p>
    <w:p>
      <w:r>
        <w:rPr>
          <w:b/>
        </w:rPr>
        <w:t>E. 11</w:t>
      </w:r>
    </w:p>
    <w:p>
      <w:r>
        <w:t>La défenderesse ne s’est en l’occurrence pas manifestée et a quitté Genève sans prendre la précaution de laisser une adresse aux demanderesses. Il est à cet égard précisé que la convocation judiciaire directement envoyée à la défenderesse à son</w:t>
      </w:r>
    </w:p>
    <w:p>
      <w:r>
        <w:t>A/2596/2019 - 14/18 - adresse professionnelle à Paris lui a été notifiée valablement au regard de l'art. 10 let. a de la Convention de La Haye relative à la signification et la notification à l'étranger des actes judiciaires et extrajudiciaires en matière civile ou commerciale, du 15 novembre 1965 (arrêt du TF 4D_79/2016 du 23 mars 2017), que ladite convocation a été retirée par l'intéressée ou du moins par une personne autorisée par elle le 24 juin 2019, et que, dans ces conditions, en l'absence de réaction de sa part à ce jour, le Tribunal de céans est autorisé à en déduire que la défenderesse a renoncé à se présenter devant lui, respectivement à exercer son droit d'être entendu dans le cadre de la présente procédure. Or, selon la jurisprudence, le médecin faisant l'objet d'une procédure en remboursement en raison d'une polypragmasie, doit établir par des exemples concrets pourquoi une certaine catégorie de ses malades engendrerait un surcoût. Il ne suffit pas de l'affirmer, de requérir l'intervention d'un expert ou de produire une liste de patients. Il appartient au contraire au médecin de rendre vraisemblable que sa pratique diffère fondamentalement de celle des autres médecins composant son groupe (cf. arrêt du Tribunal fédéral 9C_205/2008 du 9 décembre 2008 consid. 4.6.2 et 4.7.3). Il y a au surplus lieu de rappeler que les parties sont tenues de collaborer à la constatation des faits, en vertu de l’art. 22 de la loi sur la procédure administrative, du 12 septembre 1985 (LPA ; RS E 5 10). L’autorité peut aussi inviter les parties à la renseigner, notamment à se prononcer sur les faits constatés ou allégués, selon l’art. 24 al. 1 LPA. La maxime d’office n’implique ainsi pas que l’autorité saisie doive établir seule les faits. L'instruction repose aussi sur la coopération des parties. La portée de la maxime inquisitoire est en effet restreinte par le devoir des parties de collaborer à l’instruction de l’affaire (art. 22 LPA).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195 consid. 2 et les références ; cf. ATF 130 I 183 consid. 3.2). Le devoir du juge de constater les faits pertinents ne dispense donc pas les parties de collaborer à l’administration des preuves en donnant des indications sur les faits de la cause ou en désignant des moyens de preuve (ATF 130 I 184 consid. 3.2, 128 III 411 consid. 3.2). La collaboration des parties étant exigible et celle de la défenderesse faisant en l'occurrence totalement défaut, il ne saurait être considéré qu'il y a un renversement du fardeau de la preuve.</w:t>
      </w:r>
    </w:p>
    <w:p>
      <w:r>
        <w:rPr>
          <w:b/>
        </w:rPr>
        <w:t>E. 12</w:t>
      </w:r>
    </w:p>
    <w:p>
      <w:r>
        <w:t>Il convient d’examiner, sur la base des indices ressortant des statistiques, si la pratique de la défenderesse pour l’année 2017 est constitutive de polypragmasie. Le Tribunal de céans constate que les indices des coûts directs, des coûts indirects et des coûts totaux de la défenderesse sont tous supérieurs à la moyenne du groupe</w:t>
      </w:r>
    </w:p>
    <w:p>
      <w:r>
        <w:t>A/2596/2019 - 15/18 - de comparaison et largement supérieurs à 120 pour la méthode de régression et à 130 pour la méthode ANOVA. Par conséquent, il y a lieu d’admettre que la pratique de la défenderesse n’est pas conforme au principe de l’économicité durant l’année 2017. Dès lors que la polypragmasie est avérée, il y a lieu à restitution.</w:t>
      </w:r>
    </w:p>
    <w:p>
      <w:r>
        <w:rPr>
          <w:b/>
        </w:rPr>
        <w:t>E. 13</w:t>
      </w:r>
    </w:p>
    <w:p>
      <w:r>
        <w:t>Selon la jurisprudence, les particularités suivantes liées à la pratique médicale du médecin peuvent justifier un coût moyen plus élevé: une clientèle composée d’un nombre plus élevé que la moyenne de patients nécessitant souvent des soins médicaux (RAMA 1986 p. 4 consid. 4c), un nombre plus élevé de la moyenne de visites à domicile et une très grande région couverte par le cabinet (SVR 1995 p. 125 consid. 4b), un pourcentage très élevé de patients étrangers (RAMA 1986 p. 4 consid. 4c), une clientèle composée d’un nombre plus élevé de patients consultant le praticien depuis de nombreuses années et étant âgés (ATFA non publié du 18 octobre 1999, K 152/98) ou le fait que le médecin s’est installé depuis peu de temps à titre indépendant (réf. citée dans l’ATFA non publié du 18 mai 2004, K 150/03). En l’espèce toutefois, la défenderesse n’a fait valoir aucune particularité liée à sa pratique médicale qui justifierait, pour l’année 2017, un coût moyen par patient plus élevé et, partant, l’admission d’une marge supplémentaire ajoutée à la marge de tolérance de 130 %.</w:t>
      </w:r>
    </w:p>
    <w:p>
      <w:r>
        <w:rPr>
          <w:b/>
        </w:rPr>
        <w:t>E. 14</w:t>
      </w:r>
    </w:p>
    <w:p>
      <w:r>
        <w:t>Il convient de procéder au calcul du montant à restituer par la défenderesse.</w:t>
      </w:r>
    </w:p>
    <w:p>
      <w:r>
        <w:rPr>
          <w:b/>
        </w:rPr>
        <w:t>E. 15</w:t>
      </w:r>
    </w:p>
    <w:p>
      <w:r>
        <w:t>Les demanderesses se fondent, principalement, sur l’indice des régressions pour réclamer la restitution et, subsidiairement, sur les statistiques ANOVA. Le Tribunal fédéral a considéré que la convention des 23 juillet 2013/16 janvier 2014 conclue par la FMH, Santésuisse et Curafutura, selon laquelle la méthode ANOVA était appliquée (art. 56 al. 6 LAMal), était admissible à compter de l’année statistique 2017. Il n’en est pas de même encore pour la méthode de screening. La nouvelle convention datée des 10 juillet, 15 août et 23 août 2018, aux termes de laquelle la méthode ANOVA sera remplacée par la méthode de screening dès l’année statistique 2017 n’a pas encore été mentionnée par le Tribunal fédéral. Aussi, quand bien même cette nouvelle analyse ferait suite à la méthode ANOVA et en constituerait une amélioration, le Tribunal de céans ne saurait-il l’appliquer dans le cas d’espèce, ce d’autant moins que la défenderesse n’a fait valoir aucun argument pour la défense de ses intérêts. Par conséquent, le Tribunal de céans appliquera la méthode ANOVA. Au vu du défaut total de collaboration de la défenderesse, qui ne s’est manifestée à aucun moment de la procédure, il convient de se référer au calcul auquel ont procédé les demanderesses.</w:t>
      </w:r>
    </w:p>
    <w:p>
      <w:r>
        <w:t>A/2596/2019 - 16/18 - Il s’agit en l’espèce du montant de CHF 151’122.-. La demande est en conséquence admise, la défenderesse étant condamnée à restituer la somme de CHF 151’122.- aux demanderesses pour l’année 2017.</w:t>
      </w:r>
    </w:p>
    <w:p>
      <w:r>
        <w:rPr>
          <w:b/>
        </w:rPr>
        <w:t>E. 16</w:t>
      </w:r>
    </w:p>
    <w:p>
      <w:r>
        <w:t>La procédure devant le Tribunal arbitral n’est pas gratuite. Conformément à l'art. 46 al. 1 LaLAMal, les frais du tribunal et de son greffe sont à la charge des parties. Ils comprennent les débours divers (notamment indemnités de témoins, frais d'expertise, port, émoluments d'écriture), ainsi qu'un émolument global n'excédant pas CHF 15'000.-. Le Tribunal fixe le montant des frais et décide quelle partie doit les supporter (cf. art. 46 al. 2 LaLAMal). Au vu du sort du litige, l'émolument, fixé à CHF ……… et les frais du Tribunal par CHF …………… seront mis à la charge de la défenderesse (art. 46 al. 1 LaLAMal).</w:t>
      </w:r>
    </w:p>
    <w:p>
      <w:r>
        <w:t>A/2596/2019 - 17/18 -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