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ATAS/1185/2011 vom 29. November 2011</w:t>
      </w:r>
    </w:p>
    <w:p>
      <w:r>
        <w:t>GE Cour de justice, 2011-11-29, FR</w:t>
      </w:r>
    </w:p>
    <w:p>
      <w:r>
        <w:rPr>
          <w:b/>
        </w:rPr>
        <w:t xml:space="preserve">Quelle: </w:t>
      </w:r>
      <w:r>
        <w:t>https://mcp.opencaselaw.ch/entscheid/ge_gerichte_ATAS_1185_2011</w:t>
      </w:r>
    </w:p>
    <w:p>
      <w:r>
        <w:t>FR: GE_GERICHTE ATAS/1185/2011 du 29 novembre 2011</w:t>
      </w:r>
    </w:p>
    <w:p>
      <w:r>
        <w:t>IT: GE_GERICHTE ATAS/1185/2011 del 29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A/4196/2010 6/11 conclusion du mariage les intérêts dus au moment du divorce (ATF 128 V 230; ATF 129 V 444).</w:t>
      </w:r>
    </w:p>
    <w:p>
      <w:r>
        <w:rPr>
          <w:b/>
        </w:rPr>
        <w:t>E. 3</w:t>
      </w:r>
    </w:p>
    <w:p>
      <w:r>
        <w:t>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la Federal Magistrates Court de Canberra a prononcé le divorce des époux le 28 février 2009. Le 4 août 2010, le tribunal australien a ratifié la convention conclue par les époux, convention aux termes de laquelle les prestations acquises durant le mariage à l'encontre d'une institution de prévoyance professionnelle seront partagées par moitié .</w:t>
      </w:r>
    </w:p>
    <w:p>
      <w:r>
        <w:rPr>
          <w:b/>
        </w:rPr>
        <w:t>E. 5</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w:t>
      </w:r>
    </w:p>
    <w:p>
      <w:r>
        <w:t>A/4196/2010 7/11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6</w:t>
      </w:r>
    </w:p>
    <w:p>
      <w:r>
        <w:t>Il appartient ainsi à la Cour de céans de statuer, à titre préjudiciel, sur la reconnaissance en Suisse du jugement de divorce rendu le 28 février 2009 par le Federal Magistrates Court de Canberra.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w:t>
      </w:r>
    </w:p>
    <w:p>
      <w:r>
        <w:rPr>
          <w:b/>
        </w:rPr>
        <w:t>E. 7</w:t>
      </w:r>
    </w:p>
    <w:p>
      <w:r>
        <w:t>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w:t>
      </w:r>
    </w:p>
    <w:p>
      <w:r>
        <w:t>A/4196/2010 8/11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8</w:t>
      </w:r>
    </w:p>
    <w:p>
      <w:r>
        <w:t>En l'espèce, le tribunal australien a ratifié l'accord des époux souhaitant partager par moitié les avoirs qu'ils avaient accumulé durant leur mariage auprès des institutions de prévoyance suisses. Ce faisant, le tribunal australien s'est conformé à la clé de répartition prévue par l'art. 122 CC aux termes duquel "1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2 Lorsque les conjoints ont des créances réciproques, seule la différence entre ces deux créances doit être partagée". Il n'apparaît pas dès lors que l'ordre public, lequel s'interprète au demeurant de manière restrictive, serait violé. Au vu de ce qui précède et aucun des demandeurs ne s'y opposant, il y a lieu de reconnaître le jugement rendu par la Federal Magistrates Court de Canberra et d'exécuter le partage par moitié ordonné par le juge australien.</w:t>
      </w:r>
    </w:p>
    <w:p>
      <w:r>
        <w:rPr>
          <w:b/>
        </w:rPr>
        <w:t>E. 9</w:t>
      </w:r>
    </w:p>
    <w:p>
      <w:r>
        <w:t>En l’espèce, les dates pertinentes s'agissant du partage des prestations de sortie acquises durant le mariage par les demandeurs, sont, d’une part, celle du mariage, le 11 juin 1993, d’autre part le 28 février 2009, date à laquelle le jugement de divorce est devenu exécutoire.</w:t>
      </w:r>
    </w:p>
    <w:p>
      <w:r>
        <w:rPr>
          <w:b/>
        </w:rPr>
        <w:t>E. 10</w:t>
      </w:r>
    </w:p>
    <w:p>
      <w:r>
        <w:t>La prestation LPP globale acquise par le demandeur est de 908'340 fr. 60. De cette somme, il convient de déduire les avoirs LPP accumulés jusqu'au moment du mariage, soit 327'053 fr., augmentés des intérêts jusqu'au jour du divorce qui s'élèvent à 230'376 fr. 07. La prestation acquise pendant le mariage par le demandeur s'élève dès lors à 350'911 fr. 55 (908'340 fr. 60 - [327'053 fr. + 230'376 fr. 07]), tandis que celle acquise par la demanderesse est de 40'029 fr. 10 (26'637 fr. +13'392 fr. 10), les intérêts ayant déjà été calculés par les institutions de prévoyance défenderesses. Ainsi le demandeur doit à son ex-épouse le montant de 175'455 fr. 80 (350'911 fr. 55 : 2) et celle-ci doit à celui-là le montant de 20'014 fr. 55 (40'029 fr. 10 : 2), de sorte que c’est le demandeur qui doit à la demanderesse le montant de 155'441 fr. 25 (175'455 fr. 80 - 20'014 fr. 55).</w:t>
      </w:r>
    </w:p>
    <w:p>
      <w:r>
        <w:rPr>
          <w:b/>
        </w:rPr>
        <w:t>E. 11</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A/4196/2010 10/11 montant de celle-ci. Ces intérêts sont calculés au taux minimum légal selon l'art. 12 OPP 2 ou selon le taux réglementaire, si celui-ci est supérieur (ATF 129 V 255 consid. 3).</w:t>
      </w:r>
    </w:p>
    <w:p>
      <w:r>
        <w:rPr>
          <w:b/>
        </w:rPr>
        <w:t>E. 12</w:t>
      </w:r>
    </w:p>
    <w:p>
      <w:r>
        <w:t>Aucun émolument ne sera perçu, la procédure étant gratuite (art. 73 al. 2 LPP et 89H al. 1 de la loi sur la procédure administrative du 12 septembre 1985).</w:t>
      </w:r>
    </w:p>
    <w:p>
      <w:r>
        <w:t>***</w:t>
      </w:r>
    </w:p>
    <w:p>
      <w:r>
        <w:t>A/4196/2010 11/11</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