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ATAS/1184/2022 vom 22. Dezember 2022</w:t>
      </w:r>
    </w:p>
    <w:p>
      <w:r>
        <w:t>GE Cour de justice, 2022-12-22, FR</w:t>
      </w:r>
    </w:p>
    <w:p>
      <w:r>
        <w:rPr>
          <w:b/>
        </w:rPr>
        <w:t xml:space="preserve">Quelle: </w:t>
      </w:r>
      <w:r>
        <w:t>https://mcp.opencaselaw.ch/entscheid/ge_gerichte_ATAS_1184_2022</w:t>
      </w:r>
    </w:p>
    <w:p>
      <w:r>
        <w:t>FR: GE_GERICHTE ATAS/1184/2022 du 22 décembre 2022</w:t>
      </w:r>
    </w:p>
    <w:p>
      <w:r>
        <w:t>IT: GE_GERICHTE ATAS/1184/2022 del 22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Interjeté dans la forme et le délai prévus par la loi, le recours est recevable (art. 56ss LPGA; art. 62ss de la de loi sur la procédure administrative du 12 septembre 1985 [LPA - E 5 10]).</w:t>
      </w:r>
    </w:p>
    <w:p>
      <w:r>
        <w:rPr>
          <w:b/>
        </w:rPr>
        <w:t>E. 6</w:t>
      </w:r>
    </w:p>
    <w:p>
      <w:r>
        <w:t>Le litige porte sur le droit du recourant à une rente d’invalidité et à des mesures de réadaptation professionnelle.</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w:t>
      </w:r>
    </w:p>
    <w:p>
      <w:r>
        <w:t>A/3094/2021 - 10/18 -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janvier 2008).</w:t>
      </w:r>
    </w:p>
    <w:p>
      <w:r>
        <w:rPr>
          <w:b/>
        </w:rPr>
        <w:t>E. 7.2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7.3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7.4</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w:t>
      </w:r>
    </w:p>
    <w:p>
      <w:r>
        <w:t>A/3094/2021 - 11/18 -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A/3094/2021 - 12/18 - pertinents pour remettre en cause les conclusions de l'expert (arrêt du Tribunal fédéral 8C_755/2020 du 19 avril 2021 consid. 3.2 et les références).</w:t>
      </w:r>
    </w:p>
    <w:p>
      <w:r>
        <w:rPr>
          <w:b/>
        </w:rPr>
        <w:t>E. 8.4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9.2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rPr>
          <w:b/>
        </w:rPr>
        <w:t>E. 9.3</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9.4</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w:t>
      </w:r>
    </w:p>
    <w:p>
      <w:r>
        <w:t>A/3094/2021 - 13/18 -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9.5</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9.6</w:t>
      </w:r>
    </w:p>
    <w:p>
      <w:r>
        <w:t>La mesure dans laquelle les salaires ressortant des statistiques doivent être réduits, dépend de l'ensemble des circonstances personnelles et professionnelles du cas particulier (limitations liées au handicap, âge, années de service,</w:t>
      </w:r>
    </w:p>
    <w:p>
      <w:r>
        <w:t>A/3094/2021 - 14/18 -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9.7</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9.8</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w:t>
      </w:r>
    </w:p>
    <w:p>
      <w:r>
        <w:t>A/3094/2021 - 15/18 -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10</w:t>
      </w:r>
    </w:p>
    <w:p>
      <w:r>
        <w:t>En l’espèce, se pose en premier lieu la question de la violation du droit d’être entendu du recourant et des conséquences éventuelles. En effet, l’assuré fait grief à l’intimé de ne pas lui avoir communiqué la liste des questions soumises à l’expert. Il argue que, s’il en avait eu la possibilité, il aurait demandé expressément que l’expert se détermine par rapport à l’expertise du Dr B______, dont le Dr C______ avait indiqué qu’elle restait valable.</w:t>
      </w:r>
    </w:p>
    <w:p>
      <w:r>
        <w:rPr>
          <w:b/>
        </w:rPr>
        <w:t>E. 10.1</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w:t>
      </w:r>
    </w:p>
    <w:p>
      <w:r>
        <w:rPr>
          <w:b/>
        </w:rPr>
        <w:t>E. 10.2</w:t>
      </w:r>
    </w:p>
    <w:p>
      <w:r>
        <w:t>En l’occurrence, il y a effectivement eu violation du droit d’être entendu dans la mesure où l’intimé n’a pas soumis à l’assuré la liste des questions qu’il entendait poser à l’expert, mais cette violation peut être considérée comme réparée dans la mesure où l’on peut admettre qu’elle n’a pas porté à conséquence. En effet, s’agissant de l’expertise du Dr B______, il y a lieu de rappeler que, même si le Dr C______ s’y réfère, la Cour de céans elle-même, dans son arrêt 28 mai 2018, a jugé qu’elle était désormais dénuée de toute pertinence pour juger de l’état de santé de l’assuré, puisque, non seulement elle remontait à février 2011,</w:t>
      </w:r>
    </w:p>
    <w:p>
      <w:r>
        <w:t>A/3094/2021 - 16/18 - soit bien avant le dépôt de la demande de prestations, mais encore elle était antérieure au second accident survenu en 2016. Dans ces conditions, il ne se justifiait aucunement de demander à l’expert, en 2019, d’expliquer les raisons pour lesquelles il s’écartait d’une expertise remontant à près d’une décennie plus tôt et n’étant, dès lors, plus d’actualité.</w:t>
      </w:r>
    </w:p>
    <w:p>
      <w:r>
        <w:rPr>
          <w:b/>
        </w:rPr>
        <w:t>E. 11</w:t>
      </w:r>
    </w:p>
    <w:p>
      <w:r>
        <w:t>Il convient ensuite d’examiner la valeur probante du rapport d’expertise sur lequel se fonde l’intimé pour retenir une capacité de travail de 100% à compter de septembre 2014. En premier lieu, on constatera que ce rapport remplit tous les réquisits formels pour se voir reconnaître une pleine valeur probante (résumé du dossier, anamnèse, indications subjectives de l’assuré, observations cliniques). Le recourant lui reproche cependant d’ignorer le rapport du Dr C______ du 27 novembre 2019 auquel était jointe l’IRM du 18 novembre 2019 faisant état d’une aggravation de son état de santé. L’expert a pourtant expliqué de manière détaillée pour quelles raisons il s’écartait de l’évaluation du Dr C______, dont il a à juste titre relevé que ses prises de position en matière de capacité de travail étaient incohérentes puisqu’elles avaient varié dans le temps alors même que les diagnostics et limitations étaient restés strictement identiques. On ajoutera que, comme le relève l’intimé, l’aggravation décrite par l’IRM de 2019 se réfère à une IRM de référence de 2010, étant rappelé que d’autres imageries sont intervenues dans l’intervalle, en 2016 et 2017, qui, elles, montrent une situation comparable à celle de 2019, en particulier, l’absence d’atteintes radiculaires. Quant au canal lombaire étroit décrit, l’expert a souligné qu’il était favorisé par l’anatomie particulière de l’assuré. Il a au surplus bel et bien retenu l’arthrose des sacro-iliaques décrite. Quant au fait que l’assuré ne puisse conserver une position statique durablement, l’expert en a également tenu compte dans l’énumération des limitations fonctionnelles. Dès lors, aucun élément médical objectif ne permet de mettre en doute les conclusions de l’expert. C’est donc à juste titre que l’intimé s’y est rallié et a admis une pleine capacité de travail dans une activité adaptée.</w:t>
      </w:r>
    </w:p>
    <w:p>
      <w:r>
        <w:rPr>
          <w:b/>
        </w:rPr>
        <w:t>E. 12</w:t>
      </w:r>
    </w:p>
    <w:p>
      <w:r>
        <w:t>Le calcul du degré d’invalidité ne prête pas non plus le flanc à la critique. A cet égard, la Cour de céans se contentera de relever que, même en adoptant le revenu avant invalidité préconisé par le recourant (soit CHF 79'692.-) et en appliquant une réduction de 20% au revenu d’invalide, comme l’avait fait l’intimé précédemment (conduisant à un montant de CHF 48'958.-), le taux d’invalidité, de 38,57% reste insuffisant pour ouvrir droit à une rente. Enfin, s’agissant des mesures de réadaptation professionnelles requises, force est de constater que les conditions n’en sont pas réunies dès lors que l’intimé a tenté de les mettre en place, mais qu’il s’est effectivement avéré, au vu de facteurs</w:t>
      </w:r>
    </w:p>
    <w:p>
      <w:r>
        <w:t>A/3094/2021 - 17/18 - étrangers à l’invalidité et tenant aux capacités linguistiques et informatiques de l’assuré, d’une part, de son manque de motivation, d’autre part (cf. observations de la fondation IPT), qu’elles étaient dénuées de chances de succès. Il apparaît malvenu de reprocher à l’intimé de n’avoir pas examiné cette possibilité, étant rappelé que l’assuré a été reçu à plusieurs reprises par le service de réadaptation professionnelle, qu’une mesure de placement chez IPT lui a été proposée pour soutenir sa réinsertion professionnelle, qu’un délai lui a été accordé pour qu’il donne son accord, que sans réponse de sa part, un second délai lui a été accordé, qu’il a été convenu qu’il bénéficierait d’un cours de français, ainsi que de cours de technique de l’information et de communication et que l’assuré ne s’est pas présenté aux rendez-vous en invoquant son état de santé. La fondation IPT a également relaté qu’il n’avait pas fait preuve d’une grande assiduité lors des différents entretiens convenus. Dans ces conditions, c’est à juste titre que l’intimé a clôturé le dossier de réadaptation. Au vu de ce qui précède, le recours est rejeté et le recourant condamné au paiement d'un émolument de CHF 200.- (art. 69 al.1bis LAI).</w:t>
      </w:r>
    </w:p>
    <w:p>
      <w:r>
        <w:t>A/3094/2021 - 18/18 -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