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ATAS/1184/2013 vom 27. November 2013</w:t>
      </w:r>
    </w:p>
    <w:p>
      <w:r>
        <w:t>GE Cour de justice, 2013-11-27, FR</w:t>
      </w:r>
    </w:p>
    <w:p>
      <w:r>
        <w:rPr>
          <w:b/>
        </w:rPr>
        <w:t xml:space="preserve">Quelle: </w:t>
      </w:r>
      <w:r>
        <w:t>https://mcp.opencaselaw.ch/entscheid/ge_gerichte_ATAS_1184_2013</w:t>
      </w:r>
    </w:p>
    <w:p>
      <w:r>
        <w:t>FR: GE_GERICHTE ATAS/1184/2013 du 27 novembre 2013</w:t>
      </w:r>
    </w:p>
    <w:p>
      <w:r>
        <w:t>IT: GE_GERICHTE ATAS/1184/2013 del 27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w:t>
      </w:r>
    </w:p>
    <w:p>
      <w:r>
        <w:t>A/2009/2012 - 6/14 -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entrée en vigueur le 1er janvier 2008, a connu plusieurs modifications concernant le montant des revenus déterminants ainsi que des dépenses reconnues, entrées en vigueur le 1er janvier 2011, respectivement le 1er janvier 2013.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le présent litige a pour objet les prestations versées depuis le 1er février 2010, le droit aux prestations complémentaires du recourant se détermine conformément à la LPC, dans sa teneur en vigueur depuis le 1er janvier 2008, pour la période jusqu'au 31 décembre 2010 et au regard des modifications entrées en vigueur le 1er janvier 2011 pour la période postérieure.</w:t>
      </w:r>
    </w:p>
    <w:p>
      <w:r>
        <w:rPr>
          <w:b/>
        </w:rPr>
        <w:t>E. 4</w:t>
      </w:r>
    </w:p>
    <w:p>
      <w:r>
        <w:t>Interjeté dans les forme et délai légaux, le recours est recevable (art. 38 al. 4 let. c, 56 ss LPGA ; art. 9 de la loi cantonale du 14 octobre 1965 sur les prestations fédérales complémentaires à l’assurance-vieillesse et survivants et à l’assurance- invalidité [LPFC; RSG J 4 20] ; art. 43 LPCC). Préalablement, la Cour de céans relève que le recourant a mandaté le 13 septembre 2013 Monsieur O___________, ce dernier s’étant constitué avec élection de domicile. Les justiciables peuvent se faire représenter devant les juridictions administratives par un avocat ou un autre mandataire professionnellement qualifié pour la cause dont il s'agit (art. 9 al. 1 de la loi sur la procédure administrative du 12 septembre 1985 – LPA ; RSG E 5 10), étant toutefois précisé que l’avocat destitué ne peut en principe plus représenter une partie comme mandataire professionnellement qualifié au sens de cette disposition (ATA/602/2005 du 7 septembre 2005 ; ATA/327/1997 du 27 mai 1997, confirmé par Arrêt du Tribunal fédéral 2P.210/97 du 25 mars 1998).</w:t>
      </w:r>
    </w:p>
    <w:p>
      <w:r>
        <w:t>A/2009/2012 - 7/14 - Or, en l’espèce, le mandataire désigné par le recourant a été radié définitivement du registre des avocats de Genève par décision de la commission du Barreau du 11 novembre 2003, de sorte que le présent arrêt sera notifié au recourant et communiqué à Monsieur O___________.</w:t>
      </w:r>
    </w:p>
    <w:p>
      <w:r>
        <w:rPr>
          <w:b/>
        </w:rPr>
        <w:t>E. 5</w:t>
      </w:r>
    </w:p>
    <w:p>
      <w:r>
        <w:t>Le litige porte sur le point de savoir si l’intimé est fondé à partager le montant du loyer depuis le 1er février 2010, compte tenu du ménage commun du recourant avec sa compagne, et à lui réclamer la restitution du montant de 11'250 fr. correspondant aux prestations perçues à tort pour la période du 1er février 2010 au 29 février 2012.</w:t>
      </w:r>
    </w:p>
    <w:p>
      <w:r>
        <w:rPr>
          <w:b/>
        </w:rPr>
        <w:t>E. 6</w:t>
      </w:r>
    </w:p>
    <w:p>
      <w:r>
        <w:t>a) En vertu de l'art. 4 al. 1 let. a LPC, les personnes qui ont leur domicile et leur résidence habituelle en Suisse ont droit à des prestations complémentaires dès lors qu'elles perçoivent une rente de vieillesse de l'assurance-vieillesse et survivants(AVS). L’art. 9 al. 1 LPC dispose que le montant de la prestation complémentaire annuelle correspond à la part des dépenses reconnues qui excède les revenus déterminants. Les dépenses reconnues comprennent notamment le loyer d'un appartement et les frais accessoires y relatifs, à concurrence du montant maximal annuel de 13'200 francs pour les personnes seules, 15'00 francs pour les couples (art. 10 al. 1 let. b LPC).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(cf. art. 6 LPCC). b) L'article 16c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le Tribunal fédéral des assurances a jugé cette disposition - entrée en vigueur le 1er janvier 1998 (RO 1997 2961) - conforme</w:t>
      </w:r>
    </w:p>
    <w:p>
      <w:r>
        <w:t>A/2009/2012 - 8/14 -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Cour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L'art. 16c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w:t>
      </w:r>
    </w:p>
    <w:p>
      <w:r>
        <w:rPr>
          <w:b/>
        </w:rPr>
        <w:t>E. 7</w:t>
      </w:r>
    </w:p>
    <w:p>
      <w:r>
        <w:t>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w:t>
      </w:r>
    </w:p>
    <w:p>
      <w:r>
        <w:t>A/2009/2012 - 9/14 -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w:t>
      </w:r>
    </w:p>
    <w:p>
      <w:r>
        <w:t>A/2009/2012 - 10/14 -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10</w:t>
      </w:r>
    </w:p>
    <w:p>
      <w:r>
        <w:t>En vertu de l'art. 25 al. 2 1ère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w:t>
      </w:r>
    </w:p>
    <w:p>
      <w:r>
        <w:t>A/2009/2012 - 11/14 - La pratique, selon laquelle le début du délai de péremption d’un an doit être déterminé du point de vue de l’attention que l’on peut exiger de l’administration (ATF 110 V 304; RCC 1985 p. 544), n’est pas valable seulement lorsqu’il s’agit de savoir si l’administration est censée connaître les faits par suite d’une communication faite par un tiers. Elle doit être étendue aussi, par analogie, aux enquêtes que l’administration doit effectuer par la suite. Celle-ci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l’administration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181 consid. 4a et b; RCC 1989 p. 596 consid. 4b).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En l’espèce, la Cour de céans constate que le recourant a informé l’intimé en date du 16 novembre 2011 que sa compagne cohabitait avec lui. En rendant sa décision de restitution le 14 février 2012, l’intimé a ainsi respecté les délais d’un an et cinq ans conformément aux articles 25 al. 2 LPGA et 24 LPCC.</w:t>
      </w:r>
    </w:p>
    <w:p>
      <w:r>
        <w:rPr>
          <w:b/>
        </w:rPr>
        <w:t>E. 11</w:t>
      </w:r>
    </w:p>
    <w:p>
      <w:r>
        <w:t>Il convient de déterminer si l’intimé était fondé à recalculer le droit aux prestations complémentaires du recourant en tenant compte d’un loyer partagé durant la période du 1er février 2010 au 29 février 2012. a) La Cour de céans relève en premier lieu que le recourant a contracté mariage le 19 août 2011 à Asunción, au Paraguay, avec N___________ et qu’il a accompli des démarches auprès des autorités genevoises le 13 février 2012 en vue de régulariser le séjour de son épouse. Selon l’extrait informatique de l’Office cantonal de la population (ci-après OCP), l’épouse est arrivée à Genève le 15 février 2012 et est domiciliée depuis lors chez le recourant. Cela étant, le recourant a déclaré qu’après le mariage, son épouse l’a rejoint déjà au mois de novembre 2011, après qu’elle ait démissionné de son poste de fonctionnaire au Paraguay.</w:t>
      </w:r>
    </w:p>
    <w:p>
      <w:r>
        <w:t>A/2009/2012 - 12/14 - La Cour de céans rappelle que dès le moment du mariage, le calcul des prestations complémentaires doit être repris et effectué sur la base non plus d’une personne seule, mais des dispositions légales applicables pour un couple. L’épouse doit en effet être intégrée dans le calcul des prestations complémentaires du recourant et il n’y a pas lieu de procéder à un partage du loyer. C’est ainsi à tort que l’intimé a partagé le loyer pour la période d’août 2011 au 29 février 2012. Il s’ensuit que l’intimé doit effectuer un nouveau calcul des prestations complémentaires du recourant dès le mois d’août 2011, compte tenu du mariage et de toutes les autres circonstances pertinentes. b) Pour la période précédant le mariage, le recourant admet que sa compagne a cohabité avec lui d’avril 2011 à août 2011, soit durant cinq mois. Dès lors que la compagne n’est pas comprise dans le calcul des prestations complémentaires avant le mariage, qu’elle a séjourné durant plus de quatre mois chez son future époux jusqu’au mariage en août, la Cour de céans considère que durant les mois d’avril 2011 à juillet 2011, le loyer doit être partagé par deux. c) L’intimé a encore procédé au partage du loyer compte tenu de la cohabitation du recourant avec sa future épouse depuis le 1er février 2010 en expliquant s’être fondé sur une déclaration de celui-ci datée du 1er février 2012. Le recourant conteste cependant être l’auteur de cette déclaration. Selon lui, celle-ci devait émaner de son ex-épouse, qui aurait par ailleurs fait de fausses déclarations à l’intimé au sujet d’un prétendu bien immobilier qu’il posséderait en Italie. Il maintient qu'avant leur mariage, célébré à Asunción le 19 août 2011, son épouse avait habité chez lui pendant environ sept mois, à savoir d'avril à août 2011, puis qu’elle est venue le rejoindre durant les mois de novembre 2011 à février 2012. La Cour de céans relève en premier lieu que la déclaration du 1er février 2012 à laquelle se réfère l’intimé ne peut être imputée au recourant. En effet, contrairement à ce que l’intimé affirme, il ne s’agit pas d’une communication faite par le recourant, mais d’un extrait du journal informatique de l'intimé résumant un entretien téléphonique; or, à la lecture de ce document, il apparaît que le téléphone du 1er février 2012 émane non pas du recourant, mais plutôt de son ex-épouse dont il était séparé depuis le 1er avril 2008. C’est par conséquent à tort que l’intimé affirme que le recourant avait annoncé que sa compagne vivait chez lui depuis deux ans. Cela étant, au vu des informations communiquées à l’intimé, il reste à examiner si une cohabitation peut effectivement être retenue pour la période du 1er février 2010 au 31 mars 2011, ce que le recourant conteste. L’épouse du recourant a expliqué qu’elle avait connu son mari en 2008 alors qu’elle passait un mois de vacances en Suisse, puis que par la suite, elle faisait des aller-retour en Suisse, étant précisé qu’elle n’a pas besoin de visa pour entrer en Suisse.</w:t>
      </w:r>
    </w:p>
    <w:p>
      <w:r>
        <w:t>A/2009/2012 - 13/14 - En premier lieu, il convient de tenir compte du fait que la recourante était domiciliée au Paraguay et qu’elle y travaillait, jusqu’à sa lettre de démission du 28 octobre 2011. Selon l’attestation établie par l’employeur en date du 13 février 2013, l’épouse du recourant travaillait comme fonctionnaire près le Registre électoral de Coronel Oviedo, Justice électorale (Paraguay), du 1er février 1996 jusqu’à sa démission le 1er novembre 2011. Au vu de l’attestation officielle établie par la justice électorale du Paraguay, la Cour de céans doit admettre que durant la période litigieuse, le centre des intérêts personnels et professionnels de l’épouse du recourant se trouvait dans son pays d’origine. L’intimé objecte que selon l’extrait du dossier de la caisse-maladie HELSANA, l’épouse du recourant a suivi divers traitements en Suisse depuis 2009 déjà. Selon la caisse-maladie, elle était affiliée depuis le 1er août 2009. Le recourant a certes admis avoir assuré sa future épouse auprès de la caisse- maladie HELSANA. Il indique toutefois qu’il l’avait fait au cas où il lui arriverait quelque chose, car elle souffre d’hypertension. Il résulte des relevés de prestations de la caisse-maladie que l’épouse du recourant a effectivement consulté des médecins durant la période comprise entre le 3 août 2009 et le 31 mars 2011, avec notamment une hospitalisation aux HUG en décembre 2009. Cela étant, compte tenu du fait qu’elle travaillait au Paraguay, qu’elle n’avait pas besoin de visa pour entrer en Suisse, il n’est pas exclu qu’elle faisait des aller-retour en Suisse, comme elle l’a affirmé. Ces relevés sont par ailleurs insuffisants pour admettre que l’épouse du recourant avait de fait transféré sa résidence à Genève de manière durable et qu’elle y avait le centre de ses relations personnelles et surtout professionnelles. Au vu de ce qui précède, compte tenu du fait que l’épouse du recourant vivait au Paraguay où elle travaillait, la Cour de céans considère qu’il n’est pas établi au degré de la vraisemblance prépondérante qu’elle a résidé de manière durable chez son futur époux avant le mois d’avril 2011, de sorte qu’il n’y a pas lieu de partager le loyer pour la période antérieure du 1er février 2010 au 31 mars 2011.</w:t>
      </w:r>
    </w:p>
    <w:p>
      <w:r>
        <w:rPr>
          <w:b/>
        </w:rPr>
        <w:t>E. 12</w:t>
      </w:r>
    </w:p>
    <w:p>
      <w:r>
        <w:t>Au vu de ce qui précède, le recours est partiellement admis. La décision est annulée et la cause renvoyée à l’intimé pour nouveau calcul des prestations complémentaires et, cas échéant, du montant éventuel à restituer, dans le sens des considérants.</w:t>
      </w:r>
    </w:p>
    <w:p>
      <w:r>
        <w:rPr>
          <w:b/>
        </w:rPr>
        <w:t>E. 13</w:t>
      </w:r>
    </w:p>
    <w:p>
      <w:r>
        <w:t>Pour le surplus, la procédure est gratuite.</w:t>
      </w:r>
    </w:p>
    <w:p>
      <w:r>
        <w:t>A/2009/2012 - 14/14 - PAR CES MOTIFS, LA CHAMBRE DES ASSURANCES SOCIALES : Statuant A la forme : 1. Déclare le recours recevable. Au fond : 2. L’admet partiellement et annule la décision sur opposition du 31 mai 2012. 3. Renvoie la cause à l’intimé pour nouveau calcul des prestations,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 et communiqué à Monsieur O___________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