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ATAS/1183/2019 vom 5. Dezember 2019</w:t>
      </w:r>
    </w:p>
    <w:p>
      <w:r>
        <w:t>GE Cour de justice, 2019-12-05, FR</w:t>
      </w:r>
    </w:p>
    <w:p>
      <w:r>
        <w:rPr>
          <w:b/>
        </w:rPr>
        <w:t xml:space="preserve">Quelle: </w:t>
      </w:r>
      <w:r>
        <w:t>https://mcp.opencaselaw.ch/entscheid/ge_gerichte_ATAS_1183_2019</w:t>
      </w:r>
    </w:p>
    <w:p>
      <w:r>
        <w:t>FR: GE_GERICHTE ATAS/1183/2019 du 5 décembre 2019</w:t>
      </w:r>
    </w:p>
    <w:p>
      <w:r>
        <w:t>IT: GE_GERICHTE ATAS/1183/2019 del 5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2.3</w:t>
      </w:r>
    </w:p>
    <w:p>
      <w:r>
        <w:t>; ATF 135 II 286 consid. 5.1 ; ATF 132 V 368 consid. 3.1).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En règle générale, l’étendue de l’obligation de motiver dépend de la complexité de l’affaire à juger, de la liberté d’appréciation dont jouit l’autorité et de la potentielle gravité des conséquences de sa décision (ATF 112 Ia 107 consid. 2b).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w:t>
      </w:r>
    </w:p>
    <w:p>
      <w:r>
        <w:t>A/4122/2018 - 11/18 -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 avril 2014 consid. 13b ; ATAS/1081/2013 du 6 novembre 2013 consid. 4c ; ATA/304/2013 du 14 mai 2013 consid. 4c ; ATA/126/2013 du 26 février 2013). d. En l’occurrence, la motivation de la décision du 24 octobre 2018 apparaît certes pour le moins modeste, dans la mesure où l’intimé s’est contenté d’indiquer qu’au terme de l’instruction médicale, le SMR avait considéré qu’il n’y avait pas d’atteinte à la santé invalidante au sens de la loi. Il n’en demeure pas moins que la recourante a pu interjeter recours auprès de la Cour de céans, avoir accès dans ce cadre à son dossier administratif complet et présenter dans la présente procédure librement ses objections et faire valoir en particulier la position de son médecin traitant devant la Cour de céans, laquelle dispose d’un pouvoir d’examen identique à celui de l’intimé. En conclusion, la violation du droit d’être entendu dont se prévaut la recourante peut être considérée comme réparée dans le cadre de l’examen du recours.</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les forme et délai prévus par la loi, le recours est recevable (art. 56ss LPGA et 62ss de la loi sur la procédure administrative du 12 septembre 1985 (LPA-GE - E 5 10)).</w:t>
      </w:r>
    </w:p>
    <w:p>
      <w:r>
        <w:t>A/4122/2018 - 10/18 -</w:t>
      </w:r>
    </w:p>
    <w:p>
      <w:r>
        <w:rPr>
          <w:b/>
        </w:rPr>
        <w:t>E. 5</w:t>
      </w:r>
    </w:p>
    <w:p>
      <w:r>
        <w:t>Le litige porte sur la question de savoir si l'état de santé de l'assurée s'est aggravé depuis la dernière décision de refus de prestations, du 25 janvier 2017, au point de lui ouvrir droit à des prestations sous forme de rente d’invalidité.</w:t>
      </w:r>
    </w:p>
    <w:p>
      <w:r>
        <w:rPr>
          <w:b/>
        </w:rPr>
        <w:t>E. 6</w:t>
      </w:r>
    </w:p>
    <w:p>
      <w:r>
        <w:t>Dans un moyen de nature formelle qu’il convient d’examiner en premier, la recourante invoque une violation de son droit d’être entendue au motif que la décision litigieuse serait insuffisamment motivée.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w:t>
      </w:r>
    </w:p>
    <w:p>
      <w:r>
        <w:rPr>
          <w:b/>
        </w:rPr>
        <w:t>E. 7</w:t>
      </w:r>
    </w:p>
    <w:p>
      <w:r>
        <w:t>Il convient à présent d’examiner le droit de la recourante à une rente d’invalidité.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c. Lorsqu'elle est saisie d'une nouvelle demande, l'administration doit commencer par examiner si les allégations de l'assuré sont, d'une manière générale, plausibles.</w:t>
      </w:r>
    </w:p>
    <w:p>
      <w:r>
        <w:t>A/4122/2018 - 12/18 - Si tel n'est pas le cas, l'affaire est liquidée d'entrée de cause et sans autres investigations par un refus d'entrée en matière.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8</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A/4122/2018 - 13/18 -</w:t>
      </w:r>
    </w:p>
    <w:p>
      <w:r>
        <w:rPr>
          <w:b/>
        </w:rPr>
        <w:t>E. 9</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Seules les conséquences de l’atteinte à la santé sont prises en compte pour juger de la présence d’une incapacité de gain. De plus, il n’y a incapacité de gain que si l’atteinte n’est pas objectivement surmontable (al. 2 en vigueur depuis le 1er janvier 2008). Est réputée invalidité l’incapacité de gain totale ou partielle présumée permanente ou de longue durée (art. 8 al. 1 LPGA et 4 al. 1 LAI).</w:t>
      </w:r>
    </w:p>
    <w:p>
      <w:r>
        <w:rPr>
          <w:b/>
        </w:rPr>
        <w:t>E. 10</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t>A/4122/2018 - 14/18 -</w:t>
      </w:r>
    </w:p>
    <w:p>
      <w:r>
        <w:rPr>
          <w:b/>
        </w:rPr>
        <w:t>E. 11</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12</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A/4122/2018 - 15/18 -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A/4122/2018 - 16/18 -</w:t>
      </w:r>
    </w:p>
    <w:p>
      <w:r>
        <w:rPr>
          <w:b/>
        </w:rPr>
        <w:t>E. 14</w:t>
      </w:r>
    </w:p>
    <w:p>
      <w:r>
        <w:t>En l’espèce, l’intimé étant entré en matière sur la troisième demande de prestations de l’assurée pour finalement la rejeter, il convient de vérifier si c’est à juste titre qu’il a considéré qu’aucune aggravation susceptible d’ouvrir droit à des prestations n’était intervenue depuis le 25 janvier 2017, date de sa précédente décision. À l’époque, le droit aux prestations avait été nié sur la base de l’expertise du Dr H_____, lequel était parvenu aux mêmes conclusions que l’expert G_____, fin 2011. À l’époque, le Dr H_____ avait retenu les diagnostics de personnalité émotionnellement labile de type borderline et de troubles mentaux et du comportement liés à l’utilisation de substances psychoactives multiples et à l’utilisation d’autres substances psychoactives, dont il a précisé qu’ils étaient sans incidence sur la capacité de travail, la toxicomanie devant être qualifiée de primaire. Pour le surplus, l’expert avait écarté le diagnostic de stress post- traumatique. Les documents médicaux produits par la recourante à l’appui de sa nouvelle demande ne font état d’aucune nouvelle atteinte, pas même d’une aggravation de son état, qu’elle n’allègue d’ailleurs pas. En réalité, le Dr B______ tente simplement de substituer sa propre appréciation à celle des experts s’étant précédemment prononcés, dont il convient de souligner que les conclusions ont été entérinées par deux décisions désormais entrées en force, celles des 25 mai 2012 et 25 janvier 2017. Il n’est dès lors pas question de réexaminer ici la valeur probante à accorder aux expertises des Drs G_____ et H_____, d’autant moins que le Dr B______ n’apporte – quoi qu’il en soit - aucun élément objectif qui aurait été ignoré par ces derniers, mais se contente de critiquer la position du Dr H_____ et de souligner des circonstances anamnestiques qui – pour être certes tragiques – n’en étaient pas moins déjà connues des experts lorsqu’ils se sont prononcés. Or, à ce stade, la seule question litigieuse est de savoir si une aggravation susceptible d’avoir des conséquences en termes de droit aux prestations est survenue, ce qui n’est manifestement pas le cas, étant souligné, une fois encore, qu’une telle aggravation n’est pas même alléguée par la recourante et son médecin-traitant. Néanmoins, si l’on en concluait sans autre qu’il n’y a pas matière à révision, cela reviendrait à prolonger, au-delà du revirement jurisprudentiel du 11 juillet 2019, une situation dans laquelle une toxicomanie qualifiée de « primaire » n’est pas du ressort de l’assurance-invalidité et ne requiert par conséquent pas d’instruction. S’il est vrai qu’un changement de jurisprudence ne constitue pas en soi un motif de nouvelle demande ou de révision, une nouvelle demande devant reposer sur une modification des circonstances (ATF 141 V 585 consid. 5.3 précité), il n’en reste pas moins que lorsque l’administration entre en matière sur une nouvelle demande – ce qui est le cas en l’espèce –, elle doit examiner l’affaire quant au fond. Dans ce cas, elle ne saurait limiter son examen à la question de savoir si un changement</w:t>
      </w:r>
    </w:p>
    <w:p>
      <w:r>
        <w:t>A/4122/2018 - 17/18 - important susceptible d’influencer le degré d’invalidité s’est produit. En effet, dès lors qu’elle se saisit du fond du dossier, elle doit en instruire tous les aspects (médicaux et juridiques, notamment) et déterminer si la modification de l’invalidité s’est effectivement produite, comme si elle se prononçait pour la première fois sur le droit aux prestations (arrêt du Tribunal fédéral 9C_142/2012 du 9 juillet 2012 précité, consid. 4 ; Michel VALTERIO, Commentaire de la loi fédérale sur l’assurance-invalidité, p. 507, n. 31 ad art. 31 LAI). Dès lors, il incombera à l’intimée de procéder au réexamen du caractère invalidant - ou non - de la toxicomanie de la recourante à l’aune de la jurisprudence inaugurée par l’arrêt 9C_724/2018 du 11 juillet 2019 - applicable au cas d’espèce, l’affaire étant pendante devant la Cour de céans au moment du revirement de jurisprudence - , d’ordonner une expertise psychiatrique comportant une grille d’analyse telle que décrite à l’ATF 141 V 281 et, cela fait, de rendre une nouvelle décision sur le droit aux prestations de la recourante.</w:t>
      </w:r>
    </w:p>
    <w:p>
      <w:r>
        <w:rPr>
          <w:b/>
        </w:rPr>
        <w:t>E. 15</w:t>
      </w:r>
    </w:p>
    <w:p>
      <w:r>
        <w:t>Compte tenu de ce qui précède, le recours est partiellement admis et la cause renvoyée à l’intimé pour instruction complémentaire au sens des considérants puis nouvelle décision.</w:t>
      </w:r>
    </w:p>
    <w:p>
      <w:r>
        <w:t>A/4122/2018 - 18/18 -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