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ATAS/1183/2014 vom 18. November 2014</w:t>
      </w:r>
    </w:p>
    <w:p>
      <w:r>
        <w:t>GE Cour de justice, 2014-11-18, FR</w:t>
      </w:r>
    </w:p>
    <w:p>
      <w:r>
        <w:rPr>
          <w:b/>
        </w:rPr>
        <w:t xml:space="preserve">Quelle: </w:t>
      </w:r>
      <w:r>
        <w:t>https://mcp.opencaselaw.ch/entscheid/ge_gerichte_ATAS_1183_2014</w:t>
      </w:r>
    </w:p>
    <w:p>
      <w:r>
        <w:t>FR: GE_GERICHTE ATAS/1183/2014 du 18 novembre 2014</w:t>
      </w:r>
    </w:p>
    <w:p>
      <w:r>
        <w:t>IT: GE_GERICHTE ATAS/1183/2014 del 18 novembre 2014</w:t>
      </w:r>
    </w:p>
    <w:p>
      <w:pPr>
        <w:pStyle w:val="Heading2"/>
      </w:pPr>
      <w:r>
        <w:t>Erwägungen</w:t>
      </w:r>
    </w:p>
    <w:p>
      <w:r>
        <w:rPr>
          <w:b/>
        </w:rPr>
        <w:t>E. 1</w:t>
      </w:r>
    </w:p>
    <w:p>
      <w:r>
        <w:t>a) Selon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La chambre de céans est donc compétente pour connaître du recours, dès lors que le recourant conteste une décision fondée sur la LAI.</w:t>
      </w:r>
    </w:p>
    <w:p>
      <w:r>
        <w:t>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w:t>
      </w:r>
    </w:p>
    <w:p>
      <w:r>
        <w:t>A/1619/2014 - 9/18 - Déposé le 4 juin 2014 contre une décision du 30 avril 2014 reçue le 5 mai 2014, le présent recours a été interjeté en temps utile, soit dans le délai de 30 jours à compter de la notification (art. 60 al. 1 LPGA). Il contient un exposé des faits et des motifs invoqués, ainsi que les conclusions du recourant, et satisfait ainsi aux exigences de forme et de contenu prévues par l’art. 61 let. b LPGA (cf. aussi art. 89B LPA). Le recourant a qualité pour recourir contre la décision attaquée, en tant qu'elle lui refuse des prestations de l'AI auxquelles il estime avoir droit, car il est touché par cette décision et a un intérêt digne de protection à son annulation ou sa modification (art. 59 LPGA). c) Le présent recours sera donc déclaré recevable.</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depuis le 11 novembre 2011, date de l'accident de scooter qu'a eu le recourant. Le traumatisme que ce dernier avait subi le 23 juin 1998, pour lequel il avait été opéré en 2000, n'avait pas entraîné d'invalidité ; le recourant avait pu reprendre son activité professionnelle à 100%. Depuis le 11 novembre 2011, la LAI a subi les modifications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Le droit éventuel aux prestations doit donc être examiné en l'espèce au regard de l'ancien droit pour la période jusqu'au 11 novembre 2011 au 31 décembre 2011, et au regard du nouveau droit pour la période ayant débuté le 1er janvier 2012, dans la mesure de leur pertinence (ATF 130 V 445 et les références; voir également ATF 130 V 329). Cela étant, ces nouvelles dispositions n'ont pas amené de modifications substantielles sur les sujets pertinents dans la présente affaire, en particulier en matière d'évaluation de l'invalidité, pas plus d'ailleurs que celles des 4ème et 5ème révisions de la LAI (arrêt du Tribunal fédéral des assurances I.249/05 du 11 juillet 2006 consid. 2.1 et Message concernant la modification de la loi fédérale sur l'assurance-invalidité du 22 juin 2005, FF 2005 p. 4322). Aussi n'y a-t-il pas de différenciation à faire en l'espèce dans la détermination de l'invalidité du recourant pour les périodes respectives de novembre à décembre 2011 et de janvier 2012 à avril 2014 (mois au cours duquel la décision attaquée a été rendue). Par ailleurs, les dispositions de la LPGA s'appliquent à l'assurance-invalidité, à moins que la loi n'y déroge expressément (art. 1 al. 1 LAI). Les modifications qu'a</w:t>
      </w:r>
    </w:p>
    <w:p>
      <w:r>
        <w:t>A/1619/2014 - 10/18 -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b) L'invalidité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w:t>
      </w:r>
    </w:p>
    <w:p>
      <w:r>
        <w:t>A/1619/2014 - 11/18 -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w:t>
      </w:r>
    </w:p>
    <w:p>
      <w:r>
        <w:t>A/1619/2014 - 12/18 -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w:t>
      </w:r>
    </w:p>
    <w:p>
      <w:r>
        <w:t>a) En l'espèce, à l'initiative du SMR ayant pris en compte les avis du médecin traitant du recourant, l'OAI a fait expertiser ce dernier par un spécialiste FMH en rhumatologie et médecine interne. Dans son rapport d'expertise du 16 décembre 2013, cet expert a posé un diagnostic de capsulite rétractile de l'épaule gauche comme ayant une répercussion sur la capacité de travail, et celui de status post- plastie acromio-claviculaire gauche sans répercussion sur la capacité de travail, et il a estimé que la capacité de travail du recourant était de 100% à partir du 1er mars 2012 dans une activité adaptée, tenant compte des limitations fonctionnelles consistant à ne devoir ni porter des charges de plus de cinq kilos ni soulever le membre supérieur gauche au-dessus de l'horizontale. De son côté, le médecin traitant du recourant, dans un rapport du 23 mai 2014, a émis l'avis que l'incapacité de travail du recourant était totale, qu'une expertise pourrait être utile pour faire une évaluation globale du recourant, et que les limitations fonctionnelles de ce dernier justifiaient un abattement d'au moins 50% sur son revenu avec invalidité. b) À la vérité, ledit médecin traitant n'avance pas d'élément médical pertinent qui puisse justifier un complément d'instruction, mais fait part de la perplexité que lui suggère le cas du recourant. Déjà dans les certificats médicaux qu'il avait établis les</w:t>
      </w:r>
    </w:p>
    <w:p>
      <w:r>
        <w:rPr>
          <w:b/>
        </w:rPr>
        <w:t>E. 5</w:t>
      </w:r>
    </w:p>
    <w:p>
      <w:r>
        <w:t>a) Dès lors que - toutes conditions dont la réalisation n'est contestée ni par l'OAI ni par le recourant - la capacité de gain de ce dernier ne peut pas être rétablie ou améliorée par des mesures de réadaptation raisonnablement exigibles (art. 28 al. 1 let. a LAI), que l'atteinte à la santé subie par le recourant a provoqué une incapacité de travail au sens de l'art. 6 LPGA (à savoir une perte, totale ou partielle, de l'aptitude de l'assuré à accomplir dans sa profession ou son domaine d'activité le travail qui peut raisonnablement être exigé de lui), et ce d'au moins 40% en moyenne durant une année sans interruption notable (art. 28 al. 1 let. b LAI), et qu'au surplus au terme de cette année il subsiste une atteinte à la santé ayant un</w:t>
      </w:r>
    </w:p>
    <w:p>
      <w:r>
        <w:t>A/1619/2014 - 14/18 - effet sur la capacité de gain, ne serait-ce que sous la forme de limitations fonctionnelles dans une activité adaptée, il faut examiner s'il en résulte une invalidité, au sens de l'art. 8 LPGA (consid. 3.a), de 40% au moins (art. 28 al. 1 let. c LAI). Ce taux-ci est le taux minimal devant être atteint pour qu'une rente d'invalidité soit allouée, à savoir un quart de rente jusqu'à un taux d'invalidité de 49%, une demi-rente pour un taux d'invalidité de 50% à 59%, un trois quarts de rente pour un taux d'invalidité de 60% à 69%, et une rente entière dès un taux d'invalidité de 70% (art. 28 al. 2 LAI). b)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L'assuré appartient à l'une ou l'autre de ces trois catégories en fonction de ce qu'il aurait fait dans les mêmes circonstances si l'atteinte à la santé n'était pas survenue. En l'espèce, le recourant doit se voir reconnaître le statut d'un salarié à plein temps. Aussi faut-il appliquer la méthode générale de comparaison des revenus.</w:t>
      </w:r>
    </w:p>
    <w:p>
      <w:r>
        <w:rPr>
          <w:b/>
        </w:rPr>
        <w:t>E. 6</w:t>
      </w:r>
    </w:p>
    <w:p>
      <w:r>
        <w:t>a) La comparaison des revenus s'effectue, en règle ordinaire, en chiffrant aussi exactement que possible les montants des revenus sans invalidité et avec invalidité et en les confrontant l'un avec l'autre, la différence permettant de calculer le taux d'invalidité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w:t>
      </w:r>
    </w:p>
    <w:p>
      <w:r>
        <w:t>A/1619/2014 - 15/18 -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réalisée par l'Office fédéral de la statistique (ATF 126 V 75 consid. 3b/aa et bb). On se réfère alors à la statistique des salaires bruts standardisés, en se fondant toujours sur la médiane ou valeur centrale (ATF 124 V 321 consid. 3b/bb).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w:t>
      </w:r>
    </w:p>
    <w:p>
      <w:r>
        <w:t>A/1619/2014 - 16/18 -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rPr>
          <w:b/>
        </w:rPr>
        <w:t>E. 7</w:t>
      </w:r>
    </w:p>
    <w:p>
      <w:r>
        <w:t>a) En l'espèce, sur la question des revenus sans et avec invalidité, le recourant ne conteste guère que le taux d'abattement de 10% appliqué par l'office intimé au revenu d'invalide qu'il a retenu, estimant que ce taux devait être au moins de 50%. Or, la déduction maximale admise par la jurisprudence est de 25%. La prétention du recourant à l'obtention d'un abattement de 50% procède sans doute d'une méconnaissance de la jurisprudence, sinon - comme le suppose l'office intimé - d'une confusion avec la capacité de travail, ou alors d'une espérance irréaliste d'obtenir par le biais d'un abattement substantiellement ce à quoi il n'aurait pas droit sous l'angle de la capacité de travail devant lui être reconnue. Il n'y a pas dans le dossier d'élément – et le recourant lui-même n'en avance pas – qui justifierait de s'écarter du taux de 10% retenu par l'office intimé. Les limitations fonctionnelles du recourant ne sont pas telles que le recourant, âgé par ailleurs de 42 ans seulement, établi en Suisse depuis bientôt une vingtaine d'années et au bénéfice d'un permis d'établissement, ne pourrait pas mettre en œuvre sa capacité de travail dans une mesure affectant davantage sa capacité de gain. b) La chambre de céans retient donc ce taux d'abattement de 10%, de même d'ailleurs qu'un revenu hypothétique sans invalidité de CHF 57'061.- (soit le revenu actualisé pour 2012 du revenu de CHF 53'384.- réalisé par l'assuré en 2007) et un revenu avec invalidité sans abattement de CHF 62'217.- (correspondant au revenu d'un homme travaillant à 100% dans une activité de niveau 4, consistant en des activités simples et répétitives, d'après l'Enquête Suisse sur la Structure des Salaires 2012, tableau TA1, réalisée par l'Office fédéral de la statistique, applicable à titre d'activité adaptée susceptible d'être exercée par l'assuré), donc, avec un abattement de 10%, un revenu avec invalidité de CHF 55'995.-. Il s'ensuit que la perte de gain du recourant est de CHF 1'066.- par année (soit CHF 57'061.- - CHF 55'995.-). Elle représente le 1,868% du revenu hypothétique sans invalidité ([1'066.-/57'061.-]/100). C'est le lieu de relever que, pour déterminer le degré d'invalidité selon la méthode de comparaison des revenus, c'est la perte de gain (et non le revenu avec invalidité après abattement) qui doit être mise en rapport avec le revenu hypothétique sans invalidité, contrairement à ce que le recourant retient dans son recours. Le résultat exact du calcul doit ensuite être arrondi au chiffre en pour cent supérieur ou inférieur selon les règles applicables en</w:t>
      </w:r>
    </w:p>
    <w:p>
      <w:r>
        <w:t>A/1619/2014 - 17/18 - mathématiques (ATF 130 V 121 consid. 3, modifiant la jurisprudence publiée aux ATF 127 V 129, consid. 3). Le taux d'invalidité du recourant est donc de 2%. Un tel taux n'ouvre pas de droit à une rente d'invalidité (art. 28 al. 1 LAI), ni d'ailleurs non plus – sied-il de préciser dès lors que la décision attaquée refuse aussi des mesures de reclassement, et bien que le recourant n'émette pas de contestation ni de prétention à ce sujet - le droit au reclassement dans une nouvelle profession (art. 17 LAI), qui suppose une diminution de la capacité de gain de 20 % environ (ATF 124 V 110 consid. 2b et les références). c) Pour information, il sied d'indiquer au recourant qu'avec un taux d'abattement maximal de 25% sur le revenu d'invalide, on obtiendrait un revenu d'invalide après abattement de CHF 46'662.75 (CHF 62'217.- - 25%), donc une perte de gain de CHF 10'398.25 (soit CHF 57'061.- - CHF 46'662.75), représentant un degré d'invalidité de 18,223%, à arrondir à 18%. Il serait donc loin d'atteindre le degré minimal de 40% d'invalidité requis pour avoir droit à un quart de rente.</w:t>
      </w:r>
    </w:p>
    <w:p>
      <w:r>
        <w:rPr>
          <w:b/>
        </w:rPr>
        <w:t>E. 8</w:t>
      </w:r>
    </w:p>
    <w:p>
      <w:r>
        <w:t>a) Le recours est entièrement mal fondé. Il sera rejeté. b)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l’AI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un émolument de CHF 200.- sera mis à la charge du recourant. Vu l'issue donnée au recours, il ne sera pas alloué d'indemnité de procédure (art. 89H al. 3 LPA).</w:t>
      </w:r>
    </w:p>
    <w:p>
      <w:r>
        <w:t>A/1619/2014 - 18/18 -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