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ATAS/1183/2008 vom 22. Oktober 2008</w:t>
      </w:r>
    </w:p>
    <w:p>
      <w:r>
        <w:t>GE Cour de justice, 2008-10-22, FR</w:t>
      </w:r>
    </w:p>
    <w:p>
      <w:r>
        <w:rPr>
          <w:b/>
        </w:rPr>
        <w:t xml:space="preserve">Quelle: </w:t>
      </w:r>
      <w:r>
        <w:t>https://mcp.opencaselaw.ch/entscheid/ge_gerichte_ATAS_1183_2008</w:t>
      </w:r>
    </w:p>
    <w:p>
      <w:r>
        <w:t>FR: GE_GERICHTE ATAS/1183/2008 du 22 octobre 2008</w:t>
      </w:r>
    </w:p>
    <w:p>
      <w:r>
        <w:t>IT: GE_GERICHTE ATAS/1183/2008 del 22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porte sur le degré d'invalidité de la recourante et, par conséquent, sur son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w:t>
      </w:r>
    </w:p>
    <w:p>
      <w:r>
        <w:t>A/1555/2008 - 6/9 -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la recourante souffre d'un syndrome vertébral chronique, sans anomalie de la structure osseuse ni de pathologiques décelables aux radiographies et à l'IRM. Selon le médecin traitant, la capacité de travail est de 50 % dans une activité adaptée permettant de varier les positions et en évitant le port de charges, dès le 1er mai 2006 au plus tôt. Il a précisé que l'état dépressif est sans influence sur la capacité de travail.</w:t>
      </w:r>
    </w:p>
    <w:p>
      <w:r>
        <w:t>A/1555/2008 - 7/9 - Le Dr E_________ , du SMR, a retenu au titre des diagnostics avec répercussions sur la capacité de travail des rachialgies diffuses dans le cadre de troubles dégénératifs avec hernie discale C4-C5. La patiente présente les limitations fonctionnelles suivantes : elle doit pouvoir alterner deux fois par heures la position assise et debout, éviter de soulever régulièrement des charges supérieures à 5 kg ou porter des charges supérieurs à 10 kilos et le travail en porte-à-faux statique prolongé du tronc. Compte tenu de ces limitations, la capacité de travail est nulle dans l'activité de femme de chambre, de 50 % depuis le 26 septembre 2005 dans une activité d'auxiliaire de crèche devant soulever des bébés et complète depuis toujours dans une activité strictement adaptée. Le Tribunal de céans constate que les limitations fonctionnelles décrites par le Dr E_________ sont semblables à celles relevées par le Dr A_________ et les HUG lors du stage effectué par la recourante dans leur atelier de réadaptation préprofessionnelle. En revanche, l'appréciation du Dr E_________ diverge de celle du médecin traitant s'agissant de la capacité de travail résiduelle. Il convient de relever à cet égard, qu'à la différence du médecin traitant, le Dr E_________ a eu connaissance de l'intégralité du dossier de la recourante. Pour le surplus, son rapport se fonde sur un examen de l'assurée, il comporte une anamnèse personnelle et professionnelle complète, il a pris en compte les plaintes de l'assurée et posé des diagnostics précis. Enfin, ses conclusions sont claires et bien motivées. Son rapport remplit ainsi tous les réquisits exigés par la jurisprudence pour lui conférer pleine valeur probante, de sorte que le Tribunal n'a aucun motif de s'en écarter, ce d'autant que la recourante ne produit au demeurant aucun document qui viendrait contredire le rapport du SMR. Il convient dès lors d'admettre que la capacité de travail de la recourante est entière dans une activité adaptée respectant les limitations fonctionnelles.</w:t>
      </w:r>
    </w:p>
    <w:p>
      <w:r>
        <w:rPr>
          <w:b/>
        </w:rPr>
        <w:t>E. 8</w:t>
      </w:r>
    </w:p>
    <w:p>
      <w:r>
        <w:t>Reste à déterminer le degré d'invalidité de la recourante. Compte tenu du fait que la recourante est séparée, quelle a la garde de son fils mineur et qu'elle est aidée par l'Hospice général, c'est à juste titre que l'intimé a retenu le statut d'active. S'agissant du revenu d'invalide, lorsque comme en l'occurrence, l'assurée n'a pas repris d'activité lucrative, il convient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w:t>
      </w:r>
    </w:p>
    <w:p>
      <w:r>
        <w:t>A/1555/2008 - 8/9 - permet de tenir compte des différents éléments qui peuvent influencer le revenu d'une activité lucrative (cf. ATF 126 V 78 consid. 5). En l'occurrence, le salaire déterminant en 2006 est celui auquel peuvent prétendre les femmes dans des activités simples et répétitives, de niveau 4 (ESS, 2006, TA1), soit 4'019 fr. pour 40 heures de travail hebdomadaire, et 4'190 fr. pour 41,7 heures de travail par semaine, selon la durée normale de travail dans les entreprises en 2006, soit 50'278 fr. par an. L'intimé a procédé à un abattement de 10 % afin de tenir compte des limitations, de la nationalité et du permis, sur lequel il n'y a pas lieu de revenir. Le revenu d'invalide s'élève ainsi à 50'278 fr. par année. Quant au revenu sans invalidité, étant donné que la recourante n'a que très peu travaillé depuis son retour en Suisse, l'intimé s'est fondé sur le revenu que peut obtenir une femme travaillant dans le domaine de l'hôtellerie-restauration, de l'économie domestique (ESS 2006, TA7 ligne 37), de niveau 4, soit 46'650 fr. par an. Après comparaison des gains, le degré d'invalidité s'élève à 3 %. Le Tribunal de céans constate que le calcul du degré d'invalidité effectué par l'intimé ne prête pas le flanc à la critique. Il s'ensuit que la recourante ne peut prétendre à des prestations de l'assurance- invalidité. Reste réservé un éventuel droit au placement, comme l'intimé le lui a indiqué, sur demande écrite et motivée de sa part.</w:t>
      </w:r>
    </w:p>
    <w:p>
      <w:r>
        <w:rPr>
          <w:b/>
        </w:rPr>
        <w:t>E. 9</w:t>
      </w:r>
    </w:p>
    <w:p>
      <w:r>
        <w:t>Mal fondé, le recours est rejeté.</w:t>
      </w:r>
    </w:p>
    <w:p>
      <w:r>
        <w:rPr>
          <w:b/>
        </w:rPr>
        <w:t>E. 10</w:t>
      </w:r>
    </w:p>
    <w:p>
      <w:r>
        <w:t>Au vu de l'issue de la procédure, un émolument de 200 fr. est mis à la charge de la recourante, qui succombe (cf. art. 69 al. 1bis LAI).</w:t>
      </w:r>
    </w:p>
    <w:p>
      <w:r>
        <w:t>A/1555/2008 - 9/9 -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