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ATAS/1181/2019 vom 18. Dezember 2019</w:t>
      </w:r>
    </w:p>
    <w:p>
      <w:r>
        <w:t>GE Cour de justice, 2019-12-18, FR</w:t>
      </w:r>
    </w:p>
    <w:p>
      <w:r>
        <w:rPr>
          <w:b/>
        </w:rPr>
        <w:t xml:space="preserve">Quelle: </w:t>
      </w:r>
      <w:r>
        <w:t>https://mcp.opencaselaw.ch/entscheid/ge_gerichte_ATAS_1181_2019</w:t>
      </w:r>
    </w:p>
    <w:p>
      <w:r>
        <w:t>FR: GE_GERICHTE ATAS/1181/2019 du 18 décembre 2019</w:t>
      </w:r>
    </w:p>
    <w:p>
      <w:r>
        <w:t>IT: GE_GERICHTE ATAS/1181/2019 del 18 dicembre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sur opposition attaquée – qui circonscrit l’objet de la contestation et du litige – met fin à la prise en charge du traitement médical et au versement des indemnités journalières avec effet au 28 février 2019. En outre, elle refuse le versement d’une rente d’invalidité dès le 1er mars 2019. À ce propos, il convient de rappeler que la suspension des indemnités journalières et du traitement</w:t>
      </w:r>
    </w:p>
    <w:p>
      <w:r>
        <w:t>A/1867/2019 - 14/23 - médical d'une part, et l'examen des conditions du droit à la rente d'autre part, forment un seul objet du litige (cf. ATF 144 V 354 consid. 4. 2). De son côté, le recourant conclut principalement à l’octroi d’une rente entière d’invalidité et d’une indemnité pour atteinte à l’intégrité de 50%. Toutefois, comme le fait remarquer l’intimée, la question de son droit éventuel à une indemnité pour atteinte à l’intégrité ne fait pas l’objet de la décision attaquée et partant, excède l’objet du litige, ce qui exclut le prononcé d’un jugement sur ce point.</w:t>
      </w:r>
    </w:p>
    <w:p>
      <w:r>
        <w:rPr>
          <w:b/>
        </w:rPr>
        <w:t>E. 4</w:t>
      </w:r>
    </w:p>
    <w:p>
      <w:r>
        <w:t>Plusieurs modifications apportées à la LAA et à l'ordonnance sur l'assurance- accidents du 20 décembre 1982 (OLAA - RS 832.202) sont entrées en vigueur le 1er janvier 2017. L’accident en cause étant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5</w:t>
      </w:r>
    </w:p>
    <w:p>
      <w:r>
        <w:t>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w:t>
      </w:r>
    </w:p>
    <w:p>
      <w:r>
        <w:t>A/1867/2019 - 15/23 -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 ordinaire, être d'emblée niée.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Dans l’éventualité d’un accident de gravité moyenne, le juge des</w:t>
      </w:r>
    </w:p>
    <w:p>
      <w:r>
        <w:t>A/1867/2019 - 16/23 -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w:t>
      </w:r>
    </w:p>
    <w:p>
      <w:r>
        <w:rPr>
          <w:b/>
        </w:rPr>
        <w:t>E. 6</w:t>
      </w:r>
    </w:p>
    <w:p>
      <w:r>
        <w:t>Selon l'art. 9 al. 2 let. f OLAA, les déchirures de tendons sont assimilées à un accident, même si elles n'ont pas été causées par un facteur extérieur de caractère extraordinaire, pour autant qu'elles ne soient pas manifestement imputables à une maladie ou à des phénomènes dégénératifs.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w:t>
      </w:r>
    </w:p>
    <w:p>
      <w:r>
        <w:t>A/1867/2019 - 19/23 -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w:t>
      </w:r>
    </w:p>
    <w:p>
      <w:r>
        <w:rPr>
          <w:b/>
        </w:rPr>
        <w:t>E. 11</w:t>
      </w:r>
    </w:p>
    <w:p>
      <w:r>
        <w:t>En l’espèce, la décision attaquée, fondée sur l’expertise du Dr J______ et le dernier rapport du Dr D______, met un terme à la prise en charge du traitement médical et des indemnités journalières avec effet au 28 février 2019. Elle retient par ailleurs qu’en dépit de ses séquelles accidentelles, l’assuré est capable d’exercer à 100% une activité adaptée à ses limitations fonctionnelles. Comme le revenu exigible de sa part dans une activité adaptée est supérieur à celui qu’il aurait perçu sans accident en exerçant sa profession d’aide-cuisinier, l’intéressé ne subit pas de perte de gain et n’a donc pas droit à une rente d’invalidité. De son côté, le recourant conteste implicitement la capacité résiduelle de travail retenue par l’expert et le médecin-conseil de l’intimée. Il soutient en substance que ses limitations fonctionnelles, notamment ses amplitudes articulaires diminuées, l’empêchent toujours d’exercer la moindre activité professionnelle. Aussi n’existe-t-il pas d’activité adaptée à son état de santé. À ces difficultés s’ajoutent, entre autres, son absence de formation et sa proximité avec l’âge de la retraite.</w:t>
      </w:r>
    </w:p>
    <w:p>
      <w:r>
        <w:rPr>
          <w:b/>
        </w:rPr>
        <w:t>E. 12</w:t>
      </w:r>
    </w:p>
    <w:p>
      <w:r>
        <w:t>D’emblée, il convient de relever que les rapports établis suite à l’accident du 5 septembre 2016 ont mis en évidence une rupture « massive » de la coiffe des rotateurs de l’épaule gauche. En outre, il ressort du rapport opératoire du 1er novembre 2017 une « rupture de coiffe complète du sus-épineux et de l’infra-épineux avec rétractation haute vers la glène ». On se trouve donc en présence d’une lésion assimilée à un accident au sens de l’art. 9 al. 2 let. f LAA. Dans son rapport, l’expert J______ a considéré en substance que l’accident du 5 septembre 2016 avait occasionné chez l’assuré une rupture complète du tendon sus et sous-épineux. Il a indiqué qu’un statu quo sine pouvait être fixé six mois après l’opération de l’épaule gauche du 31 octobre 2017, sans autres précisions. L’expert</w:t>
      </w:r>
    </w:p>
    <w:p>
      <w:r>
        <w:t>A/1867/2019 - 20/23 - a précisé qu’en dépit de la physiothérapie, il persistait une limitation importante des amplitudes articulaires, associée à des douleurs. À la question de savoir si d’autres traitements étaient susceptibles d’améliorer notablement l’état de santé, l’expert a répondu qu’il proposait d’intensifier les exercices à domicile et d’y associer éventuellement de la physiothérapie en piscine, une fois par semaine. Il préconisait également une infiltration gléno-humérale. Si aucune amélioration n’était constatée, une intervention chirurgicale lui paraissait opportune (prothèse totale inversée). Invité par le médecin-conseil de l’intimée à répondre à diverses questions complémentaires (notamment celles de savoir pourquoi des traitements étaient préconisés alors qu’un statu quo sine était fixé six mois après l’intervention et quelle était la capacité de travail de l’assuré, tant dans sa profession antérieure d’aide-cuisinier que dans une autre profession, le cas échéant moyennant quelles limitations fonctionnelles et quels aménagements du temps de travail), l’expert a répondu : « la physiothérapie, la balnéothérapie et une infiltration ont pour but l’amélioration de l’épaule gelée (raideur post-opératoire). Les six mois sont basés sur les études préalables (Colin-Laedermann JSES 2014). Nous n’avons malheureusement pas connaissance de cuisine aménagée où toutes les casseroles sont à hauteur de la taille à un poste adapté. La capacité de travail est à 100% ». Il ressort de la jurisprudence qu’en présence d’une lésion figurant dans la liste exhaustive de l’art. 9 al. 2 OLAA, l'origine maladive ou dégénérative des lésions doit être manifeste pour exclure toute cause accidentelle et cesser d'engager l'assureur-accidents. Pour ce type de lésion, on ne peut pas se fonder sur la simple vraisemblance prépondérante pour retenir le retour à un statu quo ante ou l’évolution vers un statu quo sine. Selon le Tribunal fédéral, on ne peut admettre qu’une lésion assimilée – malgré son origine en grande partie dégénérative – a fait place à l’état de santé dans lequel l’assuré se serait trouvé sans l’accident tant que le caractère désormais exclusivement dégénératif de l’atteinte n’est pas clairement établi (cf. supra consid. 7 ; arrêt du Tribunal fédéral 8C_347/2013 du 18 février 2014 consid. 3.2 et 4.3). En l’occurrence, faute de motivation topique, les conclusions formulées par l’expert au sujet du statu quo sine et de la capacité de travail sont sujettes à caution. S’agissant tout d’abord du statu quo sine, que l’expert a situé six mois après l’intervention du 31 octobre 2017, c’est-à-dire au 30 avril 2018, l’expert ne l’a pas justifié autrement qu’en renvoyant à la doctrine médicale. Son point de vue semble donc reposer exclusivement sur des considérations générales tirées de l’expérience médicale. L’expert n’a pas fait pas état d’arguments concrets – tels qu’une dégénérescence similaire de l’épaule droite – qui permettraient d’étayer sa thèse d’une évolution vers un statu quo sine six mois après l’intervention du 31 octobre 2017, étant rappelé qu’en présence d’une lésion assimilée, on ne saurait admettre que la lésion a fait place à l’état de santé dans lequel l’assuré se serait trouvé sans l’accident, tant que son caractère désormais exclusivement dégénératif n’est pas clairement établi. Or, il ressort de l’expertise qu’au 24 mai 2018, date de l’examen,</w:t>
      </w:r>
    </w:p>
    <w:p>
      <w:r>
        <w:t>A/1867/2019 - 21/23 - l’assuré présentait encore des amplitudes articulaires sensiblement diminuées au niveau de l’épaule gauche par rapport à l’épaule droite, associées à des douleurs, ce qui plaide contre l’hypothèse d’un statu quo sine vel ante qui aurait été atteint le 30 avril 2018 déjà (le rapport d’expertise atteste d’une flexion antérieure de 120°- 130° [en actif / passif] pour l’épaule gauche et de 170° pour l’épaule droite, tandis que l’abduction a été mesurée à 110°-120° du côté gauche et à 170° du côté droit). De surcroît, l’expert a préconisé une série de traitements visant à rétablir les amplitudes articulaires et à diminuer les douleurs affectant l’épaule gauche, ce qui paraît là encore contradictoire avec le statu quo sine retenu, respectivement avec la décision de l’intimée de mettre fin à ses prestations. Le fait que l’expert ait recommandé plusieurs traitements médicaux en réponse à la question de savoir si « d’autres traitements [étaient] susceptibles d’améliorer notablement l’état actuel » plaide en effet plutôt en faveur d’un potentiel d’amélioration de l’état de santé. En ce qui concerne la capacité de travail également, la motivation de l’expert est incomplète. L’expert, dont le rapport initial ne discutait aucunement cette question-là, s’est limité à déclarer, en réponse aux questions complémentaires du médecin-conseil, que la capacité de travail s’élevait à 100%. Bien que dûment interrogé à ce propos, l’expert a omis de préciser quelles particularités devaient respecter un poste adapté à l’état de santé, notamment quels gestes ou efforts l’assuré devait éviter (limitations fonctionnelles), quelles charges il pouvait porter et si son temps de travail devait être aménagé. En outre, l’expert n’a pas précisé si la capacité de travail qu’il attestait se rapportait à la profession antérieure d’aide-cuisinier ou à une autre activité potentiellement mieux adaptée aux limitations fonctionnelles : il a avancé un taux de 100% en réponse à une question portant sur l’activité antérieure d’aide-cuisinier, mais le début de son explication paraît exclure cette profession-là, ce qui rend sa réponse peu claire. Enfin, l’expert n’a pas davantage indiqué à partir de quand l’on pouvait exiger de l’assuré qu’il travaille à 100%. De son côté, le médecin-conseil de l’intimée s’est exprimé dans un bref courrier de quelques lignes, daté du 23 octobre 2018 et adressé à la Dresse I______. Ce document ne satisfait pas aux réquisits jurisprudentiels qui permettraient de lui conférer une valeur probante, à défaut d’anamnèse, de description des plaintes, d’examens complets et de discussion approfondie des questions importantes, notamment en ce qui concerne le statu quo sine. Pour sa part, la Dresse I______, après avoir pris connaissance de l’expertise du Dr J______, a fait savoir, dans un courrier du 10 octobre 2018, qu’elle continuait à attester une totale incapacité de travail, y compris dans une activité adaptée, tout en précisant que le pronostic de reprise d’une activité professionnelle était réservé. Toutefois, la juridiction cantonale ne saurait se fonder sur ce document, qui ne satisfait pas davantage aux réquisits jurisprudentiels topiques. Le préavis de décision rendu par l’assurance-invalidité le 21 mars 2019 n’est pas plus utile pour statuer, puisque l’on ignore sur quelle(s) pièce(s) médicale(s) il repose.</w:t>
      </w:r>
    </w:p>
    <w:p>
      <w:r>
        <w:t>A/1867/2019 - 22/23 -</w:t>
      </w:r>
    </w:p>
    <w:p>
      <w:r>
        <w:rPr>
          <w:b/>
        </w:rPr>
        <w:t>E. 13</w:t>
      </w:r>
    </w:p>
    <w:p>
      <w:r>
        <w:t>En définitive, faute d’appréciation médicale circonstanciée sur ces questions, la chambre de céans n’est pas en mesure de déterminer à partir de quand l’on est en droit, dans le cas du recourant, de considérer que le statu quo sine vel ante a été atteint. Il reste également à clarifier si le recourant pourrait mettre en valeur une capacité résiduelle de travail dans son activité antérieure ou dans d’autres professions potentiellement mieux adaptées à son état de santé, le cas échéant depuis quand, à quel taux et moyennant quelles limitations fonctionnelles. Il n'appartient toutefois pas au juge de suppléer aux carences administratives, de sorte que le dossier sera renvoyé à l'intimée pour qu’il complète l’instruction, tant sur la date du statu quo sine vel ante que sur la capacité de travail, en mettant en œuvre un complément d’expertise, voire si nécessaire une nouvelle expertise. Enfin, dans la mesure où la question n’a pas été instruite jusqu’ici, il appartiendra à l’expert d’examiner si le recourant pourrait prétendre – comme il le requiert – à une indemnité pour atteinte à l’intégrité et dans l’affirmative, d’en chiffrer le taux. Au besoin, l’expert pourra s’inspirer de la table d’indemnisation n°1 édictée par la SUVA (taux d'atteinte à l'intégrité résultant de troubles fonctionnels des membres supérieurs).</w:t>
      </w:r>
    </w:p>
    <w:p>
      <w:r>
        <w:rPr>
          <w:b/>
        </w:rPr>
        <w:t>E. 14</w:t>
      </w:r>
    </w:p>
    <w:p>
      <w:r>
        <w:t>Pour le reste, l’intimée a nié toute relation de causalité adéquate entre l’accident et le trouble psychique (état dépressif majeur réactionnel) attesté par la Dresse I______, relevant d’une part que l’accident pouvait tout au plus être classé dans les accidents de gravité moyenne, à la limite des cas de faible gravité (arrêts du Tribunal fédéral 8C_817 du 11 décembre 2008 consid. 6 et 8C_643/2013 du 4 juin 2014 consid. 6), d’autre part qu’aucun critère prévu par la jurisprudence n’était rempli, a fortiori avec une intensité particulière. Il n’y a pas lieu de se pencher plus avant sur ce constat, que le recourant ne remet pas valablement en question.</w:t>
      </w:r>
    </w:p>
    <w:p>
      <w:r>
        <w:rPr>
          <w:b/>
        </w:rPr>
        <w:t>E. 15</w:t>
      </w:r>
    </w:p>
    <w:p>
      <w:r>
        <w:t>Au vu de ce qui précède, le recours sera partiellement admis et la décision sur opposition du 15 avril 2019, annulée. La cause sera renvoyée à l'intimée pour instruction complémentaire, dans le sens des considérants, puis nouvelle décision.</w:t>
      </w:r>
    </w:p>
    <w:p>
      <w:r>
        <w:rPr>
          <w:b/>
        </w:rPr>
        <w:t>E. 16</w:t>
      </w:r>
    </w:p>
    <w:p>
      <w:r>
        <w:t>Dans la mesure où l’instruction entreprise par l’intimée se révèle incomplète, ce qui justifie que la cause lui soit renvoyée, il sera renoncé aux mesures d’instruction proposées par le recourant, par appréciation anticipée des preuves (ATF 122 II 464 consid. 4a ; ATF 122 III 219 consid. 3c).</w:t>
      </w:r>
    </w:p>
    <w:p>
      <w:r>
        <w:rPr>
          <w:b/>
        </w:rPr>
        <w:t>E. 17</w:t>
      </w:r>
    </w:p>
    <w:p>
      <w:r>
        <w:t>Le recourant obtenant partiellement gain de cause, une indemnité de CHF 2’000.- lui sera accordée à titre de participation à ses frais et dépens (art. 61 let. g LPGA ; art. 89H al. 3 LPA ; art. 6 du règlement sur les frais, émoluments et indemnités en procédure administrative du 30 juillet 1986 - RFPA ; RS E 5 10.03), à la charge de l’intimée.</w:t>
      </w:r>
    </w:p>
    <w:p>
      <w:r>
        <w:rPr>
          <w:b/>
        </w:rPr>
        <w:t>E. 18</w:t>
      </w:r>
    </w:p>
    <w:p>
      <w:r>
        <w:t>La procédure est gratuite (art. 89H al. 1 LPA). ******</w:t>
      </w:r>
    </w:p>
    <w:p>
      <w:r>
        <w:t>A/1867/2019 - 23/23 -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