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ATAS/1181/2014 vom 13. November 2014</w:t>
      </w:r>
    </w:p>
    <w:p>
      <w:r>
        <w:t>GE Cour de justice, 2014-11-13, FR</w:t>
      </w:r>
    </w:p>
    <w:p>
      <w:r>
        <w:rPr>
          <w:b/>
        </w:rPr>
        <w:t xml:space="preserve">Quelle: </w:t>
      </w:r>
      <w:r>
        <w:t>https://mcp.opencaselaw.ch/entscheid/ge_gerichte_ATAS_1181_2014</w:t>
      </w:r>
    </w:p>
    <w:p>
      <w:r>
        <w:t>FR: GE_GERICHTE ATAS/1181/2014 du 13 novembre 2014</w:t>
      </w:r>
    </w:p>
    <w:p>
      <w:r>
        <w:t>IT: GE_GERICHTE ATAS/1181/2014 del 13 novembre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(art. 56ss et 38 al. 1 et 4 let. b LPGA).</w:t>
      </w:r>
    </w:p>
    <w:p>
      <w:r>
        <w:t>A/2674/2012 - 20/30 -</w:t>
      </w:r>
    </w:p>
    <w:p>
      <w:r>
        <w:rPr>
          <w:b/>
        </w:rPr>
        <w:t>E. 4.2</w:t>
      </w:r>
    </w:p>
    <w:p>
      <w:r>
        <w:t>;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Le litige porte sur la question de savoir si la recourante peut prétendre une rente d’invalidité, en particulier sur la méthode de calcul applicable pour déterminer son degré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w:t>
      </w:r>
    </w:p>
    <w:p>
      <w:r>
        <w:t>A/2674/2012 - 21/30 -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8</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 RCC 1992 p. 136 consid. 1b). La part des travaux habituels constitue le reste du pourcentage (ATF 130 V 393 consid. 3.3 et ATF 104 V 136 consid. 2a).</w:t>
      </w:r>
    </w:p>
    <w:p>
      <w:r>
        <w:rPr>
          <w:b/>
        </w:rPr>
        <w:t>E. 9</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A/2674/2012 - 22/30 -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Pour satisfaire à l'obligation de réduire le dommage (ATF 129 V 463 consid.</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A/2674/2012 - 23/30 -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En l’espèce, l’intimé considère que, sans son atteinte à la santé, la recourante aurait exercé son activité professionnelle à 80%, consacrant le reste de son temps à la tenue de son ménage, soit 20%. Il se fonde sur le taux d’activité contractuel de la recourante à compter du mois de septembre 2008, sur sa situation familiale (mariée avec deux enfants) et sur le fait que son époux est salarié et réalise un revenu confortable. Quant à la recourante, elle conteste ce statut mixte et soutient qu’en bonne santé, elle aurait continué à travailler à 100%. A l’appui de ses dires, la recourante met en avant son jeune âge, sa situation financière et le fait d’avoir déjà travaillé à 100%, en 2008, alors que sa fille était déjà née, ainsi que l’aide que peuvent lui apporter ses parents pour s’occuper de ses enfants pendant son temps de travail. S’agissant du courrier du 3 février 2012 dans lequel elle avait indiqué à l’intimé vouloir travailler à 80% pour s’occuper de ses enfants les mercredis, elle allègue l’avoir rédigé à la demande d’un collaborateur de l’intimé, par souci d’éviter de prolonger la procédure. Il ressort du dossier que la recourante a travaillé pour son dernier employeur de 2005, jusqu’à son licenciement, en 2010. Durant cette période, elle a régulièrement augmenté son temps de travail jusqu’à 100% entre janvier et août 2008, avant de le réduire à 80% dès le 1er septembre 2008, en raison de ses problème de santé et de l’absence de solution de garde pour sa fille. En 2008, lorsqu’elle travaillait à 100%, la recourante avait déjà un enfant, alors âgé d’environ 4 ans. Par courrier du</w:t>
      </w:r>
    </w:p>
    <w:p>
      <w:r>
        <w:rPr>
          <w:b/>
        </w:rPr>
        <w:t>E. 16</w:t>
      </w:r>
    </w:p>
    <w:p>
      <w:r>
        <w:t>Au vu de ce qui précède, le recours sera rejeté. Etant donné que depuis le 1er juillet 2006, la procédure n'est plus gratuite (art. 69 al. 1bis LAI), il y a lieu de condamner la recourante au paiement d'un émolument de CHF 200.-.</w:t>
      </w:r>
    </w:p>
    <w:p>
      <w:r>
        <w:t>A/2674/2012 - 30/30 -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