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ATAS/117/2018 vom 8. Februar 2018</w:t>
      </w:r>
    </w:p>
    <w:p>
      <w:r>
        <w:t>GE Cour de justice, 2018-02-08, FR</w:t>
      </w:r>
    </w:p>
    <w:p>
      <w:r>
        <w:rPr>
          <w:b/>
        </w:rPr>
        <w:t xml:space="preserve">Quelle: </w:t>
      </w:r>
      <w:r>
        <w:t>https://mcp.opencaselaw.ch/entscheid/ge_gerichte_ATAS_117_2018</w:t>
      </w:r>
    </w:p>
    <w:p>
      <w:r>
        <w:t>FR: GE_GERICHTE ATAS/117/2018 du 8 février 2018</w:t>
      </w:r>
    </w:p>
    <w:p>
      <w:r>
        <w:t>IT: GE_GERICHTE ATAS/117/2018 del 8 febbraio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 ss LPGA).</w:t>
      </w:r>
    </w:p>
    <w:p>
      <w:r>
        <w:t>A/4244/2017 - 4/6 -</w:t>
      </w:r>
    </w:p>
    <w:p>
      <w:r>
        <w:rPr>
          <w:b/>
        </w:rPr>
        <w:t>E. 3</w:t>
      </w:r>
    </w:p>
    <w:p>
      <w:r>
        <w:t>Est litigieuse en l’occurrence la question de savoir si l’intimé a refusé à raison d’entrer en matière sur la demande de révision du recourant.</w:t>
      </w:r>
    </w:p>
    <w:p>
      <w:r>
        <w:rPr>
          <w:b/>
        </w:rPr>
        <w:t>E. 4</w:t>
      </w:r>
    </w:p>
    <w:p>
      <w:r>
        <w:t>a. Selon l'art. 87 al. 2 et 3 du règlement sur l'assurance-invalidité (RAI), dans sa teneur en vigueur dès le 1er janvier 2012,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(al. 3). La jurisprudence développée sous l'empire de l'art. 87 al. 3 et 4, en vigueur jusqu'au 31 décembre 2011, reste applicable à l'art. 87 al. 2 et 3 modifié dès lors que la demande de révision doit répondre aux mêmes critères. b. Lorsque la rente a été refusée une première fois parce que le degré d'invalidité était insuffisant, la nouvelle demande ne peut être examinée que si l'assuré rend plausible que son invalidité s'est modifiée de manière à influencer ses droits (art. 87 al. 3 et 4 RAI dans leur teneur en vigueur jusqu'au 31 décembre 2011 ; ATF 109 V 262 consid. 3 p. 264 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p. 412, 117 V 198 consid. 4b p. 200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p. 114).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w:t>
      </w:r>
    </w:p>
    <w:p>
      <w:r>
        <w:t>A/4244/2017 - 5/6 -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p. 269 s.).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w:t>
      </w:r>
    </w:p>
    <w:p>
      <w:r>
        <w:rPr>
          <w:b/>
        </w:rPr>
        <w:t>E. 5</w:t>
      </w:r>
    </w:p>
    <w:p>
      <w:r>
        <w:t>En l’occurrence, le recourant n’a transmis avec sa demande de révision que le rapport du 21 avril 2017 des EPI concernant son évaluation professionnelle. Or, il ne résulte pas de ce rapport que son état ce soit aggravé. Par ailleurs, contrairement à ce que le Dr B______ a indiqué dans son certificat médical du 12 octobre 2017, il n’en ressort pas non plus que le recourant ne présente aucune capacité de travail. Au contraire, pour des travaux de petites tailles et légers, les EPI ont indiqué qu’ils pouvaient tout à fait recommander le recourant à un futur employeur. En outre, les limitations fonctionnelles semblent être restées les mêmes. Quant aux certificats médicaux transmis avec le recours, ils ne peuvent pas être pris en considération, au vu de la jurisprudence précitée en la matière. En tout état de cause, ils ne permettraient pas non plus de constater que l’état de santé du recourant s’est aggravé, étant précisé qu’une obésité n’est pas considérée comme une maladie au sens de la loi.</w:t>
      </w:r>
    </w:p>
    <w:p>
      <w:r>
        <w:rPr>
          <w:b/>
        </w:rPr>
        <w:t>E. 6</w:t>
      </w:r>
    </w:p>
    <w:p>
      <w:r>
        <w:t>Cela étant, le recours sera rejeté.</w:t>
      </w:r>
    </w:p>
    <w:p>
      <w:r>
        <w:rPr>
          <w:b/>
        </w:rPr>
        <w:t>E. 7</w:t>
      </w:r>
    </w:p>
    <w:p>
      <w:r>
        <w:t>Dès lors que le recourant est à la charge de l’Hospice général, il est renoncé à percevoir un émolument de justice.</w:t>
      </w:r>
    </w:p>
    <w:p>
      <w:r>
        <w:t>A/4244/2017 - 6/6 -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