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ATAS/117/2017 vom 16. Februar 2017</w:t>
      </w:r>
    </w:p>
    <w:p>
      <w:r>
        <w:t>GE Cour de justice, 2017-02-16, FR</w:t>
      </w:r>
    </w:p>
    <w:p>
      <w:r>
        <w:rPr>
          <w:b/>
        </w:rPr>
        <w:t xml:space="preserve">Quelle: </w:t>
      </w:r>
      <w:r>
        <w:t>https://mcp.opencaselaw.ch/entscheid/ge_gerichte_ATAS_117_2017</w:t>
      </w:r>
    </w:p>
    <w:p>
      <w:r>
        <w:t>FR: GE_GERICHTE ATAS/117/2017 du 16 février 2017</w:t>
      </w:r>
    </w:p>
    <w:p>
      <w:r>
        <w:t>IT: GE_GERICHTE ATAS/117/2017 del 16 febbraio 2017</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Qu’en l’espèce, malgré le délai qui lui a été accordé, l'assuré n’a ni motivé son recours, ni pris de conclusions, ni, a fortiori, signé ;</w:t>
      </w:r>
    </w:p>
    <w:p>
      <w:r>
        <w:t>A/4511/2016 - 3/4 - Que selon une jurisprudence rendue à propos de l’art. 52 de la loi fédérale de procédure administrative, même si le législateur n’a pas voulu poser des exigences élevées en matière de recevabilité des recours, le justiciable doit néanmoins apporter un minimum de soins dans la rédaction de ses écritures (RDAF 1999 II 174) ; Que force est de constater qu'en l'occurrence, le recourant n'a pas régularisé son « recours » dans le délai qui lui avait été imparti pour ce faire ni indiqué en quoi la décision rendue à son encontre serait contestable, ni ce qu’il attend de la Cour ; Qu'il convient donc de déclarer le recours irrecevable.</w:t>
      </w:r>
    </w:p>
    <w:p>
      <w:r>
        <w:t>A/4511/2016 - 4/4 -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