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ATAS/117/2012 vom 14. Februar 2012</w:t>
      </w:r>
    </w:p>
    <w:p>
      <w:r>
        <w:t>GE Cour de justice, 2012-02-14, FR</w:t>
      </w:r>
    </w:p>
    <w:p>
      <w:r>
        <w:rPr>
          <w:b/>
        </w:rPr>
        <w:t xml:space="preserve">Quelle: </w:t>
      </w:r>
      <w:r>
        <w:t>https://mcp.opencaselaw.ch/entscheid/ge_gerichte_ATAS_117_2012</w:t>
      </w:r>
    </w:p>
    <w:p>
      <w:r>
        <w:t>FR: GE_GERICHTE ATAS/117/2012 du 14 février 2012</w:t>
      </w:r>
    </w:p>
    <w:p>
      <w:r>
        <w:t>IT: GE_GERICHTE ATAS/117/2012 del 14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w:t>
      </w:r>
    </w:p>
    <w:p>
      <w:r>
        <w:t>A/2536/2011 - 8/13 -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1er janvier 2003, et les modifications de la loi fédérale sur l'assurance-invalidité du 6 octobre 2006 (5ème révision), entrées en vigueur le 1er janvier 2008, sont applicables.</w:t>
      </w:r>
    </w:p>
    <w:p>
      <w:r>
        <w:rPr>
          <w:b/>
        </w:rPr>
        <w:t>E. 2</w:t>
      </w:r>
    </w:p>
    <w:p>
      <w:r>
        <w:t>Le délai de recours est de 30 jours (art. 60 al. 1 LPGA). Compte tenu des féries estivales, ledit délai a été suspendu du 15 juillet au 15 août inclusivement (art. 38 al. 4 let. a LPGA). Interjeté le lundi 22 août 2011 contre une décision du 17 juin 2011, reçue au plus tôt le 20 juin 2011, le recours l'a été dans la forme et le délai prévus par la loi. Il est donc recevable, en vertu des art. 56ss LPGA.</w:t>
      </w:r>
    </w:p>
    <w:p>
      <w:r>
        <w:rPr>
          <w:b/>
        </w:rPr>
        <w:t>E. 3</w:t>
      </w:r>
    </w:p>
    <w:p>
      <w:r>
        <w:t>Le litige porte sur le droit de l'assuré à une rente entière d'invalidité.</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5</w:t>
      </w:r>
    </w:p>
    <w:p>
      <w:r>
        <w:t>En vertu de l’art. 28 al. 2 LAI, l’assuré a droit à une rente entière s’il est invalide à 70% au moins, à trois-quarts de rente s'il est invalide à 60% au moins, à une demi- rente s’il est invalide à 50% au moins, ou à un quart de rente s’il est invalide à 40% au moins.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A/2536/2011 - 9/13 -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A/2536/2011 - 10/13 -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dans un premier grief, le recourant reproche à l'intimé d'avoir pris en considération la seule position de l'expert, lequel retient une capacité de travail entière dans une activité adaptée à ses limitations fonctionnelles dès le 1er décembre 2009, et non celle de ses médecins traitants qui considèrent que son état de santé entraîne une incapacité totale de travail dès mars 2009. Il critique par ailleurs le fait que l'intimé, suite à l'intervention du genou qu'il a subie en novembre 2010 - soit postérieurement à l'expertise -, n'ait pas investigué à satisfaction de droit sa capacité de travail, se contentant des conclusions antérieures de l'expert, alors même que ses médecins traitants ont tous constaté une aggravation de son état de santé. Il convient donc de déterminer, dans un premier temps, si l’expertise du 4 octobre 2010 présente une pleine valeur probante, dans un second temps, le cas échéant</w:t>
      </w:r>
    </w:p>
    <w:p>
      <w:r>
        <w:t>A/2536/2011 - 11/13 - d'apprécier, si les rapports des médecins traitants permettent objectivement de s’en écarter.</w:t>
      </w:r>
    </w:p>
    <w:p>
      <w:r>
        <w:rPr>
          <w:b/>
        </w:rPr>
        <w:t>E. 9</w:t>
      </w:r>
    </w:p>
    <w:p>
      <w:r>
        <w:t>En ce qui concerne d'abord la valeur probante de l'expertise, il sied de relever que l'expert a procédé à une anamnèse du cas et pris en compte les antécédents personnels du recourant. Il a fait un résumé médical du dossier et établi les plaintes de l'expertisé. Après avoir examiné les atteintes à la santé dont souffre le recourant lors d'une consultation du 16 septembre 2010, le Dr H_____________ a posé un diagnostic clair et décrit de manière précise aussi bien les limitations fonctionnelles que l'influence de celles-ci sur la capacité de travail de l'intéressé. Force est ainsi de reconnaître pleine valeur probante au rapport d'expertise qui a fait l'objet d'une étude fouillée, se fonde sur des examens complets - notamment radiologiques - et prend en compte les plaintes exprimées par la personne examinée. Le rapport est d'ailleurs établi en pleine connaissance de l'anamnèse, les descriptions du contexte médical et l'appréciation de la situation médicale sont claires et les conclusions sont motivées. Ainsi, cette expertise qui est convaincante répond à tous les réquisits jurisprudentiels pour lui voir attribuer valeur probante. Il s'agit néanmoins d'apprécier si les rapports des médecins traitants du recourant permettent de jeter le doute sur cette expertise. En l'occurrence, tant le Dr E_____________ que le Dr A_____________ considèrent que le recourant est en incapacité de travail totale dès le 1er mars 2009. Leurs constatations ne permettent néanmoins pas de douter de l'expertise réalisée par le Dr H_____________ en octobre 2010. En réalité, les médecins traitants du recourant n'ont pas fait état d'éléments suffisamment pertinents pour remettre en cause les conclusions de l'expert. Il apparaît bien plutôt que ces praticiens, qui ont posé, de même que l'expert, les diagnostics de lombalgies communes récurrentes et de gonalgies droites chroniques, se sont simplement livrés à une appréciation différente du cas, plus favorable, en raison notamment du lien qui existe entre un patient et son médecin. Il s'ensuit que la Cour de céans se ralliera aux conclusions de l'expert s'agissant de la période antérieure à octobre 2010 et admettra donc que le recourant présente une capacité de travail totale dans une activité adaptée dès le 1er décembre 2009. Il apparaît néanmoins que le recourant, un mois à peine après la reddition du rapport d'expertise, s'est soumis à une nouvelle intervention chirurgicale le 16 novembre 2010. Il allègue dès lors une aggravation de son état de santé que l'intimé a, à tort, omis de prendre en considération. De plus, bien que l'intimé, avant de notifier sa décision, ait été rendu attentif au fait que l'intéressé avait subi cette opération ainsi qu'aux conséquences de celles-ci, il a notamment estimé que les rapports des Drs A_____________ et E_____________ - pourtant postérieurs à l'expertise et à l'opération - n'apportaient aucun élément nouveau permettant de</w:t>
      </w:r>
    </w:p>
    <w:p>
      <w:r>
        <w:t>A/2536/2011 - 12/13 - retenir que l'intervention avait entraîné une incapacité de travail durable chez le recourant. Selon l'intimé, les limitations fonctionnelles mises en évidence par les médecins traitants, que ce soit avant ou après la dernière intervention, n'ont pas été corrélées par des observations cliniques concluantes et reposent sur les seuls dires du recourant, de sorte que les conclusions de l'expertise restent pleinement valables. De l'avis de la Cour, l'intimé n'a pas investigué à satisfaction de droit la situation du recourant entre le moment où l'expertise a été faite et celui qui prévalait lorsque la décision litigieuse a été rendue. En particulier le Dr E_____________ a clairement posé que, suite à cette intervention, il y avait eu une péjoration de l'état de santé de son patient et que les bénéfices de la prise en charge intensive de 2009 s'en trouvaient réduits à néant. Le Dr A_____________ a pour sa part estimé que la situation du recourant méritait d'être réévaluée, le diagnostic concernant son genou droit s'étant modifié depuis l'expertise du 4 octobre 2010. Ces deux avis méritaient que l'intimé complète l'instruction de la présente cause, en procédant à de nouvelles investigations, de sorte qu'il se justifierait de conclure à un renvoi du dossier à l'OAI, pour mise en œuvre d'un complément d'expertise. Cette solution ne sera toutefois pas suivie. En effet, dans l'hypothèse - non élucidée mais hautement vraisemblable - où l'état de santé du recourant se serait effectivement aggravé suite à l'opération, il n'en demeurerait pas moins qu'au jour de la décision litigieuse - le 17 juin 2011 - il ne présentait en tous les cas pas une incapacité de travail durable de plus d'un an au sens de l'art. 28 LAI, de sorte que le recours est rejeté. Dans cette mesure, si le recourant estime que son état de santé s'est modifié dans une mesure notable, il lui appartient de déposer une nouvelle demande de prestations auprès de l'intimé. La Cour de céans l'invite d'ailleurs à procéder dans les meilleurs délais, étant rappelé que le droit à la rente prend naissance au plus tôt à l'échéance d'une période de six mois à compter de la date à laquelle l'assuré a fait valoir son droit aux prestations (art. 29 al.1 LAI).</w:t>
      </w:r>
    </w:p>
    <w:p>
      <w:r>
        <w:rPr>
          <w:b/>
        </w:rPr>
        <w:t>E. 10</w:t>
      </w:r>
    </w:p>
    <w:p>
      <w:r>
        <w:t>La Cour de céans rappelle enfin au recourant que l'OAI a considéré qu'une mesure d'aide au placement pourrait, quoiqu'il en soit, être mise en œuvre dans son cas. Il s'agira dès lors pour le recourant d'adresser une demande motivée d'aide au placement à l'intimé, s'il souhaite en bénéficier.</w:t>
      </w:r>
    </w:p>
    <w:p>
      <w:r>
        <w:rPr>
          <w:b/>
        </w:rPr>
        <w:t>E. 11</w:t>
      </w:r>
    </w:p>
    <w:p>
      <w:r>
        <w:t>La Cour de céans renonce à la perception d'un émolument, l'assuré plaidant au bénéfice de l'assistance juridique.</w:t>
      </w:r>
    </w:p>
    <w:p>
      <w:r>
        <w:t>A/2536/2011 - 13/13 -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