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ATAS/1178/2018 vom 18. Dezember 2018</w:t>
      </w:r>
    </w:p>
    <w:p>
      <w:r>
        <w:t>GE Cour de justice, 2018-12-18, FR</w:t>
      </w:r>
    </w:p>
    <w:p>
      <w:r>
        <w:rPr>
          <w:b/>
        </w:rPr>
        <w:t xml:space="preserve">Quelle: </w:t>
      </w:r>
      <w:r>
        <w:t>https://mcp.opencaselaw.ch/entscheid/ge_gerichte_ATAS_1178_2018</w:t>
      </w:r>
    </w:p>
    <w:p>
      <w:r>
        <w:t>FR: GE_GERICHTE ATAS/1178/2018 du 18 décembre 2018</w:t>
      </w:r>
    </w:p>
    <w:p>
      <w:r>
        <w:t>IT: GE_GERICHTE ATAS/1178/2018 del 18 dicembre 2018</w:t>
      </w:r>
    </w:p>
    <w:p>
      <w:pPr>
        <w:pStyle w:val="Heading2"/>
      </w:pPr>
      <w:r>
        <w:t>Erwägungen</w:t>
      </w:r>
    </w:p>
    <w:p>
      <w:r>
        <w:rPr>
          <w:b/>
        </w:rPr>
        <w:t>E. 1</w:t>
      </w:r>
    </w:p>
    <w:p>
      <w:r>
        <w:t>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Le recours a été interjeté en temps utile (art. 38 al. 3 et 4 let. c et art. 60 LPGA). Dûment complété dans les délais impartis, il satisfait aux exigences de forme et de contenu prévues par la loi (art. 61 let. b LPGA ; cf. aussi art. 89B de la loi sur la procédure administrative du 12 septembre 1985 - LPA - E 5 10). Ayant été partie à la procédure ayant abouti à la décision attaquée, étant touché par cette dernière et ayant un intérêt digne de protection à son annulation ou sa modification, le recourant a qualité pour recourir (art. 59 LPGA). Le recours est donc recevable.</w:t>
      </w:r>
    </w:p>
    <w:p>
      <w:r>
        <w:rPr>
          <w:b/>
        </w:rPr>
        <w:t>E. 2</w:t>
      </w:r>
    </w:p>
    <w:p>
      <w:r>
        <w:t>Il est dirigé contre la décision de l’intimé du 17 novembre 2017, qui, nonobstant sa brièveté, ne fait pas que de rejeter la troisième demande de prestations présentée par le recourant, le 23 juin 2016, faute d’éléments nouveaux survenus après que l’intimé lui eut déjà nié le droit à des prestations de l’AI par une décision du 26 septembre 2011, non attaquée et entrée en force, et eut refusé d’entrer en matière sur la deuxième demande de prestations, du 4 mars 2013, par une décision du 11 septembre 2013, elle aussi non attaquée et entrée en force. La décision du 17 novembre 2017 nie le droit du recourant à des prestations de l’AI faute d’atteinte à la santé invalidante au sens de la LAI, et non simplement en raison d’une absence</w:t>
      </w:r>
    </w:p>
    <w:p>
      <w:r>
        <w:t>A/4845/2017 - 12/23 - de motif de révision de la décision du 26 septembre 2011 au sens de l’art. 17 LPGA.</w:t>
      </w:r>
    </w:p>
    <w:p>
      <w:r>
        <w:rPr>
          <w:b/>
        </w:rPr>
        <w:t>E. 3</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[éd.],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c. Comme l’administration, le juge des assurances sociales apprécie librement les preuves, sans être lié par des règles formelles (art. 61 let. c in fine LPGA ; cf. aussi ci-dessous consid. 5b et c ;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t>A/4845/2017 - 13/23 -</w:t>
      </w:r>
    </w:p>
    <w:p>
      <w:r>
        <w:rPr>
          <w:b/>
        </w:rPr>
        <w:t>E. 4</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demi-rente, un trois-quarts de rente ou une rente entière selon que le taux d’invalidité est, respectivement, de 40 à 49 %, de 50 à 59 %, de 60 à 69 % ou de 70 % ou plus (art. 28 al. 2 LAI).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 FELLAY / Romolo MOLO [éd.], Droit suisse de la sécurité sociale, vol. I, 2010, n. 242 ss, 254 ss, 257 ss). Les deux types de prestations (rente et mesures de réadaptation) font référence à la notion d’invalidité.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w:t>
      </w:r>
    </w:p>
    <w:p>
      <w:r>
        <w:t>A/4845/2017 - 14/23 -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op. cit., vol. I, n. 156 ss, 160 ss).</w:t>
      </w:r>
    </w:p>
    <w:p>
      <w:r>
        <w:rPr>
          <w:b/>
        </w:rPr>
        <w:t>E. 5</w:t>
      </w:r>
    </w:p>
    <w:p>
      <w:r>
        <w:t>a.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A/4845/2017 - 15/23 - De façon générale, une pleine valeur probante peut être attribuée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c/bb. Selon l’art. 59 al. 2bis LAI, les services médicaux régionaux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L’art. 49 du règlement du 17 janvier 1961 sur l’assurance-invalidité du 17 janvier 1961 (RAI - RS 831.201) prévoit que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art. 59 al. 2bis LAI et 49 RAI adoptés lors de la 5ème révision de la LAI visent à ce que l’AI aient à disposition ses propres médecins en vue d’apprécier les conditions médicales du droit aux prestations. Ceux-ci peuvent en raison de leur connaissances médicales spécialisées se déterminer pour l’AI sur la capacité fonctionnelle des assurés. Ainsi, il est possible de séparer les compétences entre le médecin traitant (traitement médical) et l’assurance sociale (conséquence de l’atteinte à la santé sur la capacité de travail). Toutefois, l’on ne peut se baser sur une appréciation du SMR que si celle-ci remplit les conditions relatives à la valeur probante des rapports médicaux, soit en particulier, en prenant en compte l’anamnèse, en décrivant la situation médicale et ses conséquences ; par ailleurs, les conclusions doivent être motivées (ATF 125 V 351). Il n’est toutefois pas nécessaire que l’assuré soit examiné par les médecins du SMR. Ceux-ci ne le font que « au besoin » (49 al. 2 RAI). Dans les autres cas, ils se déterminent sur la base des pièces médicales au dossier ; le fait qu’ils n’aient pas procédé à un examen médical n’est pas un motif pour remettre en question leur appréciation (arrêt du Tribunal fédéral 9C_323/2009 du 14 juillet 2009). Leurs rapports ne posent alors pas de nouvelles conclusions médicales, mais portent une appréciation sur celles déjà existantes ; aussi ne doivent-ils pas remplir les mêmes exigences au niveau de leur contenu que les expertises médicales. On ne saurait en revanche leur dénier toute valeur probante. Ils ont notamment pour but de résumer</w:t>
      </w:r>
    </w:p>
    <w:p>
      <w:r>
        <w:t>A/4845/2017 - 16/23 -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c/dd.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w:t>
      </w:r>
    </w:p>
    <w:p>
      <w:r>
        <w:t>a. En l’espèce, il appert que l’intimé n’a pas rendu la décision attaquée et ainsi statué sur la nouvelle demande de prestations présentée par le recourant sans avoir pris soin de faire procéder préalablement à une expertise médicale de ce dernier, en septembre-octobre 2017, comme d’ailleurs – sied-il d’indiquer bien que la question déborde du cadre de l’objet possible du recours, qui ne saurait être dirigé contre la décision du 26 septembre 2011 – il en avait fait faire une, en juin-juillet 2011, après que le TCAS lui avait renvoyé le dossier pour instruction complémentaire. Pour rendre la décision attaquée comme d’ailleurs celle du 26 septembre 2011, l’intimé ne s’est pas appuyé sur de simples avis médicaux du SMR, qui synthétiseraient le dossier médical et porteraient une appréciation sur les rapports médicaux figurant au dossier et leurs conclusions. Comme l’était le rapport de la Dresse I______ du 20 juillet 2011 (portant sur le seul volet psychiatrique du cas), le rapport du 24 octobre 2017, quant à lui bi-disciplinaire (portant sur les volets rhumatologique et psychiatrique du cas) constitue un rapport d’expertise, qu’il est loisible à l’intimé de requérir du SMR comme d’autres centres d’expertises médicales. De tels rapports d’expertise ne se trouvent pas disqualifiés par le fait qu’ils émanent de médecins rattachés à l’intimé. Ces derniers sont indépendants dans l’évaluation des cas d’espèce.</w:t>
      </w:r>
    </w:p>
    <w:p>
      <w:r>
        <w:t>A/4845/2017 - 17/23 - C’est le lieu de relever, bien que la question soit dépassée, qu’en lui renvoyant la cause pour instruction complémentaire sur l’aspect psychiatrique du cas, le TCAS n’avait pas ordonné à l’intimé de confier une expertise psychiatrique à un expert indépendant, mais d’abord de solliciter l’avis des médecins traitants (ce qu’il a fait en recueillant les avis du Dr C______ et du CMD-HUG), puis, « le cas échéant » (expression à comprendre comme signifiant si nécessaire, et l’intimé a estimé que c’était nécessaire), de mettre en place une expertise psychiatrique, sans nullement exclure que le SMR y procède. La question déterminante est de savoir si le rapport d’expertise (en l’occurrence) du 24 octobre 2017 satisfait aux exigences jurisprudentielles prévalant en la matière. b. Ce rapport d’expertise a été établi dans les deux disciplines médicales pertinentes, à savoir la rhumatologie et la psychiatrie, et l’expertise a été effectuée par des spécialistes desdites disciplines. Ces derniers ont tous deux procédé à un examen clinique du recourant, et ils ont étudié le dossier médical de ce dernier. Le dossier dont ils ont disposé apparaît comporter les pièces pertinentes nécessaires (en particulier l’IRM de la colonne dorsolombaire du 11 décembre 2015, étant ajouté qu’un rapport relatif à un examen du CMD-HUG [ou du CP-HUG] du 24 mars 2014, non mentionné dans le rapport d’expertise précité, ne constitue pas matériellement une pièce essentielle dès lors qu’il est résumé dans le rapport du</w:t>
      </w:r>
    </w:p>
    <w:p>
      <w:r>
        <w:rPr>
          <w:b/>
        </w:rPr>
        <w:t>E. 9</w:t>
      </w:r>
    </w:p>
    <w:p>
      <w:r>
        <w:t>a. Dans un arrêt de principe du 12 mars 2004 (ATF 130 V 352), le Tribunal fédéral avait posé la présomption que les affections psychosomatiques – comportant les symptomatologies douloureuses sans substrat organique objectivable (autrement appelées « troubles somatoformes douloureux ») et d’autres affections psychosomatiques assimilées (ATF 132 V 65 consid. 3 et 4.1) – pouvaient être surmontées par un effort de volonté raisonnablement exigible, si bien que les personnes concernées n'avaient en règle générale aucun droit à une rente de l'assurance-invalidité. Seule l'existence de certains facteurs déterminés pouvait, exceptionnellement, faire apparaître la réintégration dans le processus de travail comme n'étant pas exigible. Au premier plan de ces critères figurait la présence d’une comorbidité psychiatrique importante par sa gravité, son acuité et sa durée ; d’autres critères pouvaient tenir à un processus maladif s’étendant sur plusieurs années sans rémission durable,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l’échec de traitements ambulatoires ou stationnaires conformes aux règles de l’art, en dépit d’une attitude coopérative de l’assuré. Plus ces critères se manifestaient et imprégnaient les constatations médicales, moins une exigibilité d’un effort de volonté pouvait être admise ; à l’inverse, le droit à des prestations d’assurance devait être nié si des limitations d’exercice d’une activité lucrative résultaient d’une exagération des symptômes ou d’une constellation semblable, comme une discordance entre les douleurs décrites et le comportement observé, l’allégation d’intenses douleurs dont les caractéristiques demeuraient vagues, l’absence de demande de soins, de grandes divergences entre les informations fournies par l’assuré et celles ressortant de l’anamnèse, le fait que des plaintes très démonstratives laissaient l’expert insensible, et l’allégation d’un lourd handicap malgré un environnement psychosocial intact (ATF 132 V 65 ; 131 V 49 ; 130 V 352 ; Michel VALTERIO, op. cit., n. 1199 ss ; Jacques-André SCHNEIDER, L’invalidité, les douleurs dites « non objectivables » et le Tribunal fédéral : la rupture, in Regards de marathoniens sur le droit suisse, 2015, p. 409 ss). b. Selon un nouvel arrêt de principe rendu par le Tribunal fédéral le 3 juin 2015 (ATF 141 V 281), il n’y a plus de présomption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w:t>
      </w:r>
    </w:p>
    <w:p>
      <w:r>
        <w:t>A/4845/2017 - 20/23 -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(ATAS/1176/2017 du 21 décembre 2017 consid. 5 ; ATAS/551/2017 du 27 juin 2017 consid. 5 ; ATAS/1010/2016 du 6 décembre 2016 consid. 7 ; ATAS/204/2016 du 15 mars 2016 consid. 6).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 il est nécessaire de procéder à une approche globale de l’influence du trouble somatoforme douloureux avec l’ensemble des pathologies concomitantes ;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 c. Il y a lieu de relever que le Tribunal fédéral a étendu à toutes les affections psychiques l’applicabilité de la grille d’analyse établie par sa jurisprudence précitée sur les symptomatologies douloureuses sans substrat organique objectivable (ATF 143 V 409 consid. 4.2.1).</w:t>
      </w:r>
    </w:p>
    <w:p>
      <w:r>
        <w:t>A/4845/2017 - 21/23 -</w:t>
      </w:r>
    </w:p>
    <w:p>
      <w:r>
        <w:rPr>
          <w:b/>
        </w:rPr>
        <w:t>E. 10</w:t>
      </w:r>
    </w:p>
    <w:p>
      <w:r>
        <w:t>a. En l’espèce, il s’impose de relever que – comme cela est exposé aux pages 8 s. et 10 s du rapport d’expertise (ad respectivement status psychiatrique et appréciation du cas sur le plan psychiatrique) – l’examen clinique du recourant n’a pas objectivé de troubles de la mémoire, de la concentration ou de l’attention, ni de ralentissement psychomoteur, ni de symptômes d’abus médicamenteux ou de consommation de drogues. Le recourant ne présentait pas d’agitation psychomotrice, ni de foetor alcoolique, ni de signes de sevrage, ni d’adynamie, d’anhédonie, de perte de l’élan vital, de diminution du plaisir, de sentiment de dévalorisation, de culpabilité ou de persécution, ni de fatigue. Le recourant n’avait jamais fait de tentative de suicide et ne verbalisait pas d’idées suicidaires ; les quelques traits dépressifs se manifestant à la confrontation à ses difficultés étaient trop discrets pour justifier de retenir un trouble spécifique de ce registre. Le recourant ne présentait pas d’angoisse persistante, ni d’attaque de panique, ni d’anxiété généralisée, ni non plus d’agoraphobie, de phobie sociale, ni de claustrophobie. L’experte n’avait pas non plus objectivé de symptômes de la lignée psychotique en faveur d’une décompensation psychotique, ni d’éléments dénotant un état de stress post-traumatique, un trouble obsessionnel compulsif ou un trouble dissociatif. b. Il appert par ailleurs que le recourant a une vie sociale, assume les activités de la vie quotidienne. Ainsi, d’après la description qu’il a faite de sa vie quotidienne (p. 6 du rapport d’expertise), après le lever entre 5h00 et 9h00, il mange une tranche de pain, puis, en cours de matinée, il fait des promenades, va en ville ou passe du temps dans un parc, et il voit régulièrement ses voisins, avec lesquels il boit un café, discute et entretient un bon contact. Il mange seul à midi chez lui, parfois mange une pizza en ville, puis il se promène, s’arrête boire un café, parfois va à la bibliothèque. À la maison, il s’occupe du ménage, fait la lessive, du repassage et passe l’aspirateur, occasionnellement. Il fait ses emplettes deux fois par semaine. Après son divorce, il avait eu une relation sentimentale, mais celle-ci avait pris fin quelques mois avant l’expertise. Il avait passé des vacances dans son pays d’origine, le Kosovo, à tout le moins en 2016 et 2017. c. L’experte a constaté chez le recourant une nette amplification verbale de ses plaintes somatiques, sans comportement algique, accompagnée d’un sentiment de désarroi et de colère. Comme cela a déjà été relevé, tant son co-expert que les médecins du recourant ont eux aussi été frappés par un manque de cohérence entre les plaintes du recourant et tant les résultats des auscultations et examens cliniques que l’observation de son comportement. d. Il s’avérait ainsi qu’il n’y avait pas non plus d’atteinte psychiatrique incapacitante, en particulier pas de trouble somatoforme douloureux ayant une répercussion sur la capacité de travail et de gain, au regard des indicateurs dégagés par la récente jurisprudence du Tribunal fédéral. Force est de retenir en particulier une absence d’atteinte à la santé, une absence de comorbidité psychiatrique, la présence de ressources personnelles et sociales</w:t>
      </w:r>
    </w:p>
    <w:p>
      <w:r>
        <w:t>A/4845/2017 - 22/23 - mobilisables, ainsi qu’un manque de cohérence entre les plaintes émises par le recourant et les résultats des examens et analyses ainsi que l’observation de son comportement. e. La chambre de céans ne voit pas non plus de raison de ne pas retenir les conclusions de l’experte psychiatre, soit, plus généralement, de l’appréciation consensuelle que les deux experts ont faite du cas.</w:t>
      </w:r>
    </w:p>
    <w:p>
      <w:r>
        <w:rPr>
          <w:b/>
        </w:rPr>
        <w:t>E. 11</w:t>
      </w:r>
    </w:p>
    <w:p>
      <w:r>
        <w:t>On ne saurait retenir que le recourant est invalide, d’un point de vue tant somatique que psychiatrique. Aussi est-ce à bon droit que l’intimé a rejeté la (nouvelle et troisième) demande de prestations présentée par le recourant. Le recours de ce dernier doit être rejeté.</w:t>
      </w:r>
    </w:p>
    <w:p>
      <w:r>
        <w:rPr>
          <w:b/>
        </w:rPr>
        <w:t>E. 12</w:t>
      </w:r>
    </w:p>
    <w:p>
      <w:r>
        <w:t>La procédure de recours en matière de contestations portant sur l’octroi ou le refus de prestations de l’assurance-invalidité est soumise à des frais de justice (art. 69 al. 1bis LAI ; art. 89H al. 4 LPA), en dérogation au principe, posé par l’art. 61 let. a LPGA, de la gratuité des procédures devant le tribunal cantonal des assurances. Toutefois, le recourant ayant été mis au bénéfice de l’assistance juridique, il y a lieu de renoncer à le condamner au paiement d'un émolument. Il n’y a pas d’indemnité de procédure à allouer, ni au recourant, qui succombe (art. 61 let. g LPGA), ni à l’intimé en tant qu’assureur social (Ueli KIESER, op. cit., n. 199 s. ad art. 61). * * * * * *</w:t>
      </w:r>
    </w:p>
    <w:p>
      <w:r>
        <w:t>A/4845/2017 - 23/23 -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