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ATAS/1178/2009 vom 17. September 2009</w:t>
      </w:r>
    </w:p>
    <w:p>
      <w:r>
        <w:t>GE Cour de justice, 2009-09-17, FR</w:t>
      </w:r>
    </w:p>
    <w:p>
      <w:r>
        <w:rPr>
          <w:b/>
        </w:rPr>
        <w:t xml:space="preserve">Quelle: </w:t>
      </w:r>
      <w:r>
        <w:t>https://mcp.opencaselaw.ch/entscheid/ge_gerichte_ATAS_1178_2009</w:t>
      </w:r>
    </w:p>
    <w:p>
      <w:r>
        <w:t>FR: GE_GERICHTE ATAS/1178/2009 du 17 septembre 2009</w:t>
      </w:r>
    </w:p>
    <w:p>
      <w:r>
        <w:t>IT: GE_GERICHTE ATAS/1178/2009 del 17 settembre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s’applique au cas d’espèce.</w:t>
      </w:r>
    </w:p>
    <w:p>
      <w:r>
        <w:rPr>
          <w:b/>
        </w:rPr>
        <w:t>E. 3</w:t>
      </w:r>
    </w:p>
    <w:p>
      <w:r>
        <w:t>Déposé dans les formes et délai prévus par la loi, compte tenu de la suspension des délai du 5 au 19 avril 2009, le présent recours est recevable (art. 56 à 60 LPGA).</w:t>
      </w:r>
    </w:p>
    <w:p>
      <w:r>
        <w:rPr>
          <w:b/>
        </w:rPr>
        <w:t>E. 4</w:t>
      </w:r>
    </w:p>
    <w:p>
      <w:r>
        <w:t>Le litige porte sur la question de savoir si l'évaluation de la capacité ménagère a été effectuée correctement et, par conséquent, sur le taux d'invalidité de la recourante.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w:t>
      </w:r>
    </w:p>
    <w:p>
      <w:r>
        <w:t>A/1427/2009 - 9/12 -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vertu de l’art. 28 al. 2 LAI, l’assuré a droit à une rente entière s’il est invalide à 70 % au moins, à un trois-quarts de rente s'il est invalide à 60 % au moins, à une demi-rente s’il est invalide à 50 % au moins, ou à un quart de rente s’il est invalide à 40 % au moins. En vertu de l’art. 29 LAI,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 (al. 1er). Le droit ne prend pas naissance tant que l’assuré peut faire valoir son droit à une indemnité journalière au sens de l’art. 22 LAI (al. 2). La rente est versée dès le début du mois au cours duquel le droit prend naissance (al. 3).</w:t>
      </w:r>
    </w:p>
    <w:p>
      <w:r>
        <w:rPr>
          <w:b/>
        </w:rPr>
        <w:t>E. 6</w:t>
      </w:r>
    </w:p>
    <w:p>
      <w:r>
        <w:t>Lors de l'examen initial du droit à la rente, il faut examiner quelle méthode d'évaluation de l'invalidité il convient d'appliquer (art. 28a LAI, en corrélation avec l'art. 27 du règlement sur l'assurance-invalidité du 17 janvier 1961 - RAI;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ou assuré exerçant une activité lucrative à temps partiel. Pour déterminer la part de l’activité lucrative par rapport à celle consacrée aux travaux ménagers, il convient d’examiner ce que ferait l’assuré dans les mêmes circonstances s’il n’était pas atteint dans sa santé.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146 consid. 2c). En l'espèce, la recourante est ménagère depuis la naissance de son fils, soit depuis 1979. Lors de l'enquête ménagère, elle a indiqué qu'elle aurait voulu reprendre une activité professionnelle dès que son fils aurait été en âge de commencer l'école, mais que son état de santé l'en avait empêchée. Or, selon son médecin traitant, la</w:t>
      </w:r>
    </w:p>
    <w:p>
      <w:r>
        <w:t>A/1427/2009 - 10/12 - recourante présente une incapacité de travail d'au moins 20% depuis 1992 seulement. A cette époque son fils avait 13 ans, soit bien plus que l'âge pour commencer l'école. Le statut de ménagère est donc bien confirmé, car même après le début de la scolarité de son fils, la recourante a continué de s'occuper de son ménage à plein temps.</w:t>
      </w:r>
    </w:p>
    <w:p>
      <w:r>
        <w:rPr>
          <w:b/>
        </w:rPr>
        <w:t>E. 7</w:t>
      </w:r>
    </w:p>
    <w:p>
      <w:r>
        <w:t>Pour évaluer l’invalidité des assurés travaillant dans le ménage au sens de l’art. 27 RAI, l'administration procède à une enquête sur les activités ménagères et fixe l’empêchement dans chacune des activités habituelles en se référant au supplément 1 aux directives concernant l’invalidité et l’impotence de l’Office fédéral des assurances sociales.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Selon la jurisprudence, les empêchements de l'assuré doivent être évalués en tenant compte de l'aide que l'on peut exiger des membres de la famille au titre de l'obligation de réduire le dommage (ATF 130 V 97 consid. 3.2 p. 99, 123 V 230 consid. 3c et les références p. 233),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(ATF non publié I 735/04 du 17 janvier 2006, consid. 6.5). En l'espèce, l'enquête a été dirigée par une infirmière, qui avait connaissance des affections dont la recourante souffre.</w:t>
      </w:r>
    </w:p>
    <w:p>
      <w:r>
        <w:t>A/1427/2009 - 11/12 - L'enquête a scindé le champ d'activités ménagères en sept postes comme le préconise le chiffre 3086 de la circulaire concernant l'invalidité et l'impotence de l'AI de l'OFFICE FEDERAL DES ASSURANCES SOCIALES (ci-après la CIIAI). La pondération de ces postes se fait en partie selon le chiffre 3086 CIIAI, qui donne un minimum et un maximum, mais aussi sur la base de la jurisprudence du Tribunal fédéral des assurances, en particulier l'arrêt du 11 mars 1985, en la cause V.B., qui donne une moyenne entre les minimas et maximas à prendre en considération. Par rapport à la conduite du ménage, à l'alimentation, aux emplettes et courses diverses, ainsi qu'au poste "divers", l'enquêtrice a retenu une pondération conforme au chiffre 3086 CIIAI et à la jurisprudence. Le total est bien de 100%, la pondération effectuée par l'enquêtrice est donc correcte. Le motif en est que la recourante a deux enfants, le premier né 1971 et le second en 1979, qui sont donc majeurs. Pour que la pondération globale soit complète, il faut que le total des sept postes soit égal à 100%, raison pour laquelle il a fallu redistribuer les 20% manquants aux autres postes, en l’occurrence sur les postes entretien du logement et vêtements, qui ont 10% de plus chacun que la moyenne. En revanche, s'agissant des postes relatifs à l'entretien du logement, à la lessive et à l'entretien des enfants, la pondération retenue par l'enquêtrice semble dans un premier temps ne pas être conforme à la moyenne jurisprudentielle, de 20%.</w:t>
      </w:r>
    </w:p>
    <w:p>
      <w:r>
        <w:rPr>
          <w:b/>
        </w:rPr>
        <w:t>E. 8</w:t>
      </w:r>
    </w:p>
    <w:p>
      <w:r>
        <w:t>L'enquête ménagère et l'expertise médicale concluent au même taux d'invalidité, malgré ce que l'on pourrait croire. En effet, l'enquête ménagère prend en compte l'obligation de réduire le dommage de la part de la recourante, mais également de l'aide que l'on peut exiger de la part de son mari pour l'ensemble des tâches ménagères. Cette obligation a été fixée à 15%, pour tenir compte de l'état de santé de celui-ci. En soustrayant la part du mari aux 50% retenus par l'expertise médicale, on obtient bien un taux de 35%, comparable aux 32,5% retenus par l'enquêtrice. Dès lors, qu'un taux d'invalidité de 32,5%, ou de 35%, n'ouvre pas de droit à l'octroi d'une rente, la décision de l'OCAI sera confirmée.</w:t>
      </w:r>
    </w:p>
    <w:p>
      <w:r>
        <w:rPr>
          <w:b/>
        </w:rPr>
        <w:t>E. 9</w:t>
      </w:r>
    </w:p>
    <w:p>
      <w:r>
        <w:t>La loi fédérale du 16 décembre 2005 modifiant la loi fédérale sur l'assurance- invalidité est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w:t>
      </w:r>
    </w:p>
    <w:p>
      <w:r>
        <w:t>A/1427/2009 - 12/12 -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