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ATAS/1177/2018 vom 18. Dezember 2018</w:t>
      </w:r>
    </w:p>
    <w:p>
      <w:r>
        <w:t>GE Cour de justice, 2018-12-18, FR</w:t>
      </w:r>
    </w:p>
    <w:p>
      <w:r>
        <w:rPr>
          <w:b/>
        </w:rPr>
        <w:t xml:space="preserve">Quelle: </w:t>
      </w:r>
      <w:r>
        <w:t>https://mcp.opencaselaw.ch/entscheid/ge_gerichte_ATAS_1177_2018</w:t>
      </w:r>
    </w:p>
    <w:p>
      <w:r>
        <w:t>FR: GE_GERICHTE ATAS/1177/2018 du 18 décembre 2018</w:t>
      </w:r>
    </w:p>
    <w:p>
      <w:r>
        <w:t>IT: GE_GERICHTE ATAS/1177/2018 del 18 dicembre 2018</w:t>
      </w:r>
    </w:p>
    <w:p>
      <w:pPr>
        <w:pStyle w:val="Heading2"/>
      </w:pPr>
      <w:r>
        <w:t>Erwägungen</w:t>
      </w:r>
    </w:p>
    <w:p>
      <w:r>
        <w:rPr>
          <w:b/>
        </w:rPr>
        <w:t>E. 17</w:t>
      </w:r>
    </w:p>
    <w:p>
      <w:r>
        <w:t>Par arrêt incident du 16 juillet 2018 (ATAS/644/2018), la chambre de céans a rejeté la requête visant à l’octroi de l’effet suspensif à la demande et a rejeté la demande en révision de l’arrêt incident du 4 novembre 2015.</w:t>
      </w:r>
    </w:p>
    <w:p>
      <w:r>
        <w:t>A/3559/2015 - 4/8 - EN DROIT 1. Il y a d’emblée lieu de préciser que la composition de la chambre de céans pour le présent arrêt a dû être modifiée, en ce sens que Monsieur G______, juge assesseur, a remplacé Madame H______, juge assesseur, au vu de la démission de celle-ci au 31 décembre 2017. 2. À teneur de l'art. 89I al. 2 et 3 de la loi sur la procédure administrative, du 12 septembre 1985 (LPA - E 5 10), l'art. 61 let. i LPGA est applicable pour les causes visées à l'art. 134 al. 1 LOJ et l'art. 80 LPA pour les causes visées à l'art. 134 al. 3 LOJ. Cependant, la LPGA renvoyant au droit cantonal s'agissant de la procédure devant le tribunal cantonal des assurances, il convient d'appliquer l'art. 80 LPA dans toutes les hypothèses. Aux termes de cette disposition légale, il y a lieu à révision lorsque, dans une affaire réglée par une décision définitive, il apparaît : a) qu'un crime ou un délit, établi par une procédure pénale ou d'une autre manière, a influencé la décision ; b) que des faits ou des moyens de preuve nouveaux et importants existent, que le recourant ne pouvait connaître ou invoquer dans la procédure précédente ; c) que, par inadvertance, la décision ne tient pas compte de faits invoqués et établis par pièce ; d) que la juridiction n'a pas statué sur certaines conclusions des parties de manière à commettre un déni de justice formel ; e) que la juridiction qui a statué n'était pas composée comme la loi l'ordonne ou que les dispositions sur la récusation ont été violées. Conformément à l’art. 89B al. 1 LPA - auquel renvoie l’art. 89I de la même loi -, la demande doit comporter un exposé succinct des faits ou des motifs invoqués et des conclusions. S’agissant plus spécifiquement d’une demande de révision, l’art. 81 al.1 LPA ajoute que celle-ci doit être adressée par écrit à la juridiction qui a rendu la décision dans les trois mois dès la découverte du motif de révision. Elle doit indiquer le motif de révision et contenir les conclusions du requérant pour le cas où la révision serait admise et une nouvelle décision prise (al. 3). Il y a en l’espèce lieu de constater que, dans la mesure où l’assurée a déposé sa demande en révision trois mois à compter de l’arrêt du Tribunal fédéral du</w:t>
      </w:r>
    </w:p>
    <w:p>
      <w:r>
        <w:rPr>
          <w:b/>
        </w:rPr>
        <w:t>E. 22</w:t>
      </w:r>
    </w:p>
    <w:p>
      <w:r>
        <w:t>décembre 2017, date à laquelle elle a eu connaissance du retrait de l’autorisation de pratiquer de la Clinique, elle a respecté le délai prévu par l’art. 81 al. 1 LPA. La demande en révision est donc recevable. 3. À l'appui de sa demande de révision, l’assurée a invoqué les reproches qui ont été faits à la clinique Corela, et le fait que c’est sur cette base que l’assureur et la chambre de céans se sont fondés pour statuer.</w:t>
      </w:r>
    </w:p>
    <w:p>
      <w:r>
        <w:t>A/3559/2015 - 5/8 - 4. Dans son arrêt du 22 décembre 2017 (2C_32/2017), le Tribunal fédéral a retenu que les expertises pratiquées auprès du "département expertise" de la clinique avaient un poids déterminant pour de nombreux justiciables, de sorte que l'on devait attendre de ces expertises qu'elles soient rendues dans les règles de l'art. Il existait ainsi un intérêt public manifeste à ce que des acteurs intervenant dans des procédures administratives en tant qu'experts, et qui, au demeurant, facturaient d'importants montants à la charge de la collectivité, rendent des expertises dans lesquelles l'administré et l'autorité pouvaient avoir pleine confiance, ceux-ci n'étant le plus souvent pas des spécialistes des domaines en cause. Or, de très importants manquements avaient été constatés dans la gestion de l'institution de santé, en particulier des graves violations des devoirs professionnels incombant à une personne responsable d'un tel établissement. En particulier, cette personne - responsable médical du "département expertise" - avait modifié (notamment sur des points non négligeables) et signé des dizaines d'expertises sans avoir vu les expertisés et sans l'accord de l'expert, ce qui constituait un comportement inadmissible relevant d'un manquement grave au devoir professionnel. C'est pourquoi le Tribunal fédéral a jugé qu'une mesure de retrait de trois mois de l'autorisation d'exploiter le "département expertise" n'était pas contraire au droit (consid. 6 et 7 de l'arrêt cité). Dans un arrêt plus récent du 16 août 2018 (9F_5/2018), le Tribunal fédéral a répété qu’en droit des assurances sociales, une évaluation médicale effectuée dans les règles de l'art revêt une importance décisive pour l'établissement des faits pertinents (ATF 122 V 157 consid. 1b p. 159). Elle implique en particulier la neutralité de l'expert, dont la garantie vise à assurer notamment que ses conclusions ne soient pas influencées par des circonstances extérieures à la cause et à la procédure (cf. ATF 137 V 210 consid. 2.1.3 p. 231), ainsi que l'absence de toute intervention à l'insu de l'auteur de l'expertise, les personnes ayant participé à un stade ou à un autre aux examens médicaux ou à l'élaboration du rapport d'expertise devant être mentionnées comme telles dans celui-ci. Dans cet arrêt, le Tribunal fédéral a considéré que les manquements constatés au sein du "département expertise" dans la procédure relative au retrait de l'autorisation de la clinique Corela soulevaient de sérieux doutes quant à la manière dont des dizaines d'expertises avaient été effectuées au sein de cet établissement (arrêt 2C_32/2017 consid. 7.1) et portaient atteinte à la confiance que les personnes assurées et les organes de l'assurance- invalidité étaient en droit d'accorder à l'institution chargée de l'expertise (voir aussi arrêt 8C_657/2017 du 14 mai 2018 consid. 5.2.2). Dès lors, de même que l'organe d'exécution de l'assurance-invalidité ou le juge ne peut se fonder sur un rapport médical qui, en soi, remplit les exigences en matière de valeur probante (sur ce point, cf. ATF 125 V 351 consid. 3a p. 352) lorsqu'il existe des circonstances qui soulèvent des doutes quant à l'impartialité et l'indépendance de son auteur, fondés non pas sur une impression subjective mais une approche objective (ATF 137 V 210 consid. 6.1.2 p. 267 ; 132 V 93 consid. 7.1 p. 109 et la référence ; arrêt 9C_104/2012 du 12 septembre 2012 consid. 3.1), il n’était pas admissible de</w:t>
      </w:r>
    </w:p>
    <w:p>
      <w:r>
        <w:t>A/3559/2015 - 6/8 - reprendre les conclusions d'une expertise établie dans des circonstances ébranlant de manière générale la confiance placée dans l'institution mandatée pour l'expertise en cause (arrêt 9F_5/2018 consid. 2.3.2). 5. En l'espèce, l'expertise rendue le 20 janvier 2015 par les médecins de la clinique Corela, sur laquelle se sont fondés tant l’assureur que la chambre de céans, a été réalisée à une époque où le responsable médical du "département expertise" modifiait illicitement le contenu de rapports. En conséquence, cette expertise ne saurait servir de fondement pour statuer sur le droit de l’assurée aux prestations LAA. Peu importe de savoir si ledit responsable est concrètement intervenu dans la rédaction du rapport d’expertise, voire en a modifié le contenu à l'insu de son auteur, parce qu'il n'est en tout état de cause pas possible d'accorder pleine confiance au rapport du 3 septembre 2014, établi sous l'enseigne de la clinique Corela (cf. arrêt 9F_5/2018 consid. 2.3.2). Les exigences liées à la qualité de l'exécution d'un mandat d'expertise médicale en droit des assurances sociales ne pouvaient être considérées comme suffisamment garanties au sein du "département expertise" de celle-ci (sur l'importance de la garantie de qualité de l'expertise administrative, Susanne LEUZINGER, Die Auswahl der medizinischen Sachverständigen im Sozialversicherungsverfahren [Art. 44 ATSG], in Soziale Sicherheit - Soziale Unsicherheit, Mélanges à l'occasion du 65ème anniversaire de Erwin Murer, 2010, p. 438). Il ressort de ce qui précède que les faits en cause sont de nature à modifier l'état de fait à la base de l'arrêt dont la révision est demandée, dès lors que, eussent-ils été connus de l’assureur et de la chambre de céans, ils auraient conduit ceux-ci à donner une autre issue au litige, singulièrement à nier que l'expertise pût servir de fondement pour le refus de prestations. Il s'impose dès lors d'annuler l'arrêt rendu le 12 avril 2016 par la chambre de céans et de renvoyer la cause à l’assureur pour mise en œuvre d’une nouvelle expertise pluridisciplinaire et nouvelle décision portant sur le droit de l’assurée aux indemnités journalières au-delà du 13 janvier 2014 et à la prise en charge du traitement médical à compter du 29 janvier 2015. 6. D'après la jurisprudence,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n’en va autrement que lorsqu’un tel renvoi constitue en soi un déni de justice ; cela peut être le cas notamment lorsque, en raison des circonstances, un simple mandat d'expertise judiciaire ou une mesure d'instruction ponctuelle édictée par le juge suffirait à élucider l'état de fait, ou qu'un renvoi apparaîtrait disproportionné (cf. ATF 122 V 163 consid. 1d, RAMA 1993 n° U 170 p. 136 et la critique de G. Aubert parue in SJ 1993 p. 560), ce qui n’est pas le cas en l’occurrence.</w:t>
      </w:r>
    </w:p>
    <w:p>
      <w:r>
        <w:t>A/3559/2015 - 7/8 - On relèvera à cet égard que le Tribunal fédéral, dans son arrêt du 16 août 2018 (9F_5/2018), a du reste renvoyé la cause pour instruction complémentaire à l’autorité administrative et non au tribunal cantonal.</w:t>
      </w:r>
    </w:p>
    <w:p>
      <w:r>
        <w:t>A/3559/2015 - 8/8 - PAR CES MOTIFS, LA CHAMBRE DES ASSURANCES SOCIALES : Statuant sur révision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