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ATAS/1176/2011 vom 30. November 2011</w:t>
      </w:r>
    </w:p>
    <w:p>
      <w:r>
        <w:t>GE Cour de justice, 2011-11-30, FR</w:t>
      </w:r>
    </w:p>
    <w:p>
      <w:r>
        <w:rPr>
          <w:b/>
        </w:rPr>
        <w:t xml:space="preserve">Quelle: </w:t>
      </w:r>
      <w:r>
        <w:t>https://mcp.opencaselaw.ch/entscheid/ge_gerichte_ATAS_1176_2011</w:t>
      </w:r>
    </w:p>
    <w:p>
      <w:r>
        <w:t>FR: GE_GERICHTE ATAS/1176/2011 du 30 novembre 2011</w:t>
      </w:r>
    </w:p>
    <w:p>
      <w:r>
        <w:t>IT: GE_GERICHTE ATAS/1176/2011 del 30 novembre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1er janvier 2011, cette compétence revient à la Chambre des assurances sociales de la Cour de justice, laquelle reprend la procédure pendante devant le Tribunal cantonal des assurances sociales (art. 143 al. 6 de la LOJ du 26 septembre 2010).</w:t>
      </w:r>
    </w:p>
    <w:p>
      <w:r>
        <w:t>A/2619/2010 - 5/12 - La compétence de la Cour de céans pour juger du cas d’espèce est ainsi établie.</w:t>
      </w:r>
    </w:p>
    <w:p>
      <w:r>
        <w:rPr>
          <w:b/>
        </w:rPr>
        <w:t>E. 2</w:t>
      </w:r>
    </w:p>
    <w:p>
      <w:r>
        <w:t>La loi fédérale sur la partie générale du droit des assurances sociales du 6 octobre 2000 (LPGA; 830.1) est entrée en vigueur le 1er janvier 2003, entraînant de nombreuses modifications dans le domaine de l’assurance-vieillesse, notamment en ce qui concerne l’art. 52 de la loi fédérale du 20 décembre 1946 sur l’assurance- vieillesse et survivants (LAVS). Désormais, la responsabilité de l’employeur est réglée de manière plus détaillée qu’auparavant à l’art. 52 LAVS et les art. 81 et 82 du règlement du 31 octobre 1947 sur l’assurance-vieillesse et survivants (RAVS) ont été abrogés. La procédure applicable auparavant (décision administrative suivie, en cas d'opposition, d'une action de la caisse en réparation du dommage [ancien art. 81 RAVS]) a été modifiée (décision puis décision sur opposition de la caisse de compensation, suivies d’un recours de droit administratif [art. 52 al. 2 LAVS, dans sa teneur en vigueur depuis le 1er janvier 2003, et 56 LPGA]). En l’occurrence, c’est la nouvelle procédure qui s’applique, dès lors que la LPGA était en vigueur au moment où la caisse a rendu sa décision en réparation du dommage (cf. ATF 130 V 1).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w:t>
      </w:r>
    </w:p>
    <w:p>
      <w:r>
        <w:rPr>
          <w:b/>
        </w:rPr>
        <w:t>E. 3</w:t>
      </w:r>
    </w:p>
    <w:p>
      <w:r>
        <w:t>Interjeté dans les forme et délai prévus par la loi, le recours est recevable (cf. art. 56ss LPGA).</w:t>
      </w:r>
    </w:p>
    <w:p>
      <w:r>
        <w:rPr>
          <w:b/>
        </w:rPr>
        <w:t>E. 4</w:t>
      </w:r>
    </w:p>
    <w:p>
      <w:r>
        <w:t>Le litige porte sur la responsabilité du recourant, en sa qualité d’administrateur de la société, du dommage subi par l'intimée suite au non-paiement des cotisations AVS/AI/APG/AC. Il convient de relever que la première décision en réparation rendue par la caisse à l’encontre de l’administrateur est entrée en force faute d’avoir été contestée, si bien qu’il n’y a pas lieu d’y revenir ici.</w:t>
      </w:r>
    </w:p>
    <w:p>
      <w:r>
        <w:rPr>
          <w:b/>
        </w:rPr>
        <w:t>E. 5</w:t>
      </w:r>
    </w:p>
    <w:p>
      <w:r>
        <w:t>Se pose préalablement la question de savoir si, comme le soutient le recourant, la décision sur opposition est entachée de nullité. Le recourant reproche à l’intimée d’être entrée en matière sur son opposition dont il allègue qu’elle aurait souffert d’un défaut de motivation. L’art. 10 al. 1 de l’ordonnance sur la partie générale du droit des assurances sociales (OPGA ; RS 831.11) prévoit que l’opposition doit contenir des conclusions et être motivée. Force est de constater qu’en l’occurrence, le recourant, dans son courrier du 15 avril 2010, s’est clairement opposé à la décision de la caisse et a brièvement motivé sa position en alléguant n’avoir agi ni intentionnellement ni par</w:t>
      </w:r>
    </w:p>
    <w:p>
      <w:r>
        <w:t>A/2619/2010 - 6/12 - négligence grave et en expliquant que la société n’avait pour seule cliente que ASTIE &amp; FILS SA, société elle-même faillie suite à une spoliation. Certes, cette opposition est succincte mais il en ressort toutefois clairement un désaccord sur la question de la négligence grave imputée à l’intéressé. C’est par conséquent à juste titre que la caisse est entrée en matière.</w:t>
      </w:r>
    </w:p>
    <w:p>
      <w:r>
        <w:rPr>
          <w:b/>
        </w:rPr>
        <w:t>E. 6</w:t>
      </w:r>
    </w:p>
    <w:p>
      <w:r>
        <w:t>Selon l'art. 52 LAVS, l'employeur qui, intentionnellement ou par négligence grave, n'observe pas des prescriptions et cause ainsi un dommage à la caisse de compensation, est tenu à réparation. D'après l'ancien art. 82 al. 1 RAVS,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En tant qu'il s'agit de délais de péremption, la caisse de compensation est déchue du droit d'exiger la réparation du dommage si elle n'a pas agi dans les délais requis (cf. ATF 128 V 12 consid. 5a, 17 consid. 2a, 126 V 451 consid. 2a, 121 III 388 consid. 3b et les références; cf. également Andrea BRACONI, Prescription et péremption dans l'assurance sociale, in : Droit privé et assurances sociales, Fribourg 1990, p. 223 et 227 ss). En revanche, si elle a rendu une décision de réparation du dommage dans ces délais et, en cas d'opposition, ouvert une action dans les 30 jours à compter du moment où elle a eu connaissance de l'opposition (ancien art. 81 al. 3 RAVS), ses droits sont sauvegardés pour toute la durée de la procédure, jusqu'à ce que la décision entre en force ou qu'un jugement définitif soit rendu (cf. consid. 5.1.1 de l'arrêt F. du 30 novembre 2004, H 96/03, publié in SVR 2005 AHV n° 15 p. 49; RCC 1991 p. 136 consid. 2c; arrêt non publié B. du 8 janvier 1990 [H 102/88] consid. 2c). Avec l'entrée en vigueur de la LPGA, au 1er janvier 2003, l'art. 82 RAVS a été abrogé. Depuis lors,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w:t>
      </w:r>
    </w:p>
    <w:p>
      <w:r>
        <w:rPr>
          <w:b/>
        </w:rPr>
        <w:t>E. 7</w:t>
      </w:r>
    </w:p>
    <w:p>
      <w:r>
        <w:t>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w:t>
      </w:r>
    </w:p>
    <w:p>
      <w:r>
        <w:t>A/2619/2010 - 7/12 -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Selon la jurisprudence relative à l’art. 82 al. 1 RAVS, lorsque la caisse de compensation subit un dommage à cause de l’insolvabilité de l’employeur et en dehors de la faillite de ce dernier, le moment de la connaissance du dommage et, partant, le point de départ du délai d’une année, coïncide avec le moment de la délivrance d’un acte de défaut de biens ou d’un procès-verbal de saisie selon l’art. 115 LP (ATF 113 V 256 consid. 3c, RCC 1988 p. 323 consid. 3b). Ceci ne vaut cependant que pour l’acte de défaut de biens définitif au sens de l’art. 115 al. 1 LP (en corrélation avec l’art. 149 LP), soit lorsque le procès-verbal de saisie indique que les biens saisissables font entièrement défaut. En revanche, on ne peut pas retenir que le dommage est survenu ou connu au sens de l’art. 82 al. 1 RAVS lorsque c’est sur la base d’une simple estimation de l’Office des poursuites que les biens saisissables sont considérés comme insuffisants et qu’on ne peut par conséquent admettre que les créances sont totalement irrécouvrables.</w:t>
      </w:r>
    </w:p>
    <w:p>
      <w:r>
        <w:t>A/2619/2010 - 8/12 - Du point de vue du droit des cotisations, l’acte de défaut de biens provisoire au sens de l’art. 115 al. 2 LP, dont le procès-verbal de saisie tient alors lieu, habilite et oblige la caisse de compensation à déposer une demande de réquisition de vente et à en attendre le résultat. Dès lors, il ne peut en règle générale, encore être question de la connaissance du dommage. Au vu de ce qui précède, la notification de procès-verbal de saisie à la caisse valant acte de défaut de biens provisoire puisqu’ils faisaient état de biens saisissables (art. 115 al. 2 LP) ne peut fonder le point de départ de la connaissance du dommage. Il n’existe pas non plus en l’espèce de circonstances spéciales permettant de croire qu’il n’y avait manifestement plus rien à espérer de la procédure de réalisation. A cet égard, le recourant invoque en vain que la caisse savait dès le début que la société rencontrait des difficultés financières, de sorte qu’elle aurait dû savoir que la réalisation des biens inventoriés ne lui procurerait pas un dédommagement satisfaisant. En effet, la société était alors encore active. Par ailleurs, le simple fait d’avoir été mise au courant de la situation financière précaire de la société ne permettait pas à la caisse de se faire une opinion sur le recouvrement ultérieur de ses créances (ATFA non publié H 142/03 du 19 août 2003 consid. 4.3). Il ressort de ce qui précède qu’en rendant sa décision le 9 février 2010, soit moins de deux ans après le dépôt de l’état de collocation annonçant l’absence prévisible de dividende, l’intimée a agi en temps utile.</w:t>
      </w:r>
    </w:p>
    <w:p>
      <w:r>
        <w:rPr>
          <w:b/>
        </w:rPr>
        <w:t>E. 8</w:t>
      </w:r>
    </w:p>
    <w:p>
      <w:r>
        <w:t>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w:t>
      </w:r>
    </w:p>
    <w:p>
      <w:r>
        <w:rPr>
          <w:b/>
        </w:rPr>
        <w:t>E. 9</w:t>
      </w:r>
    </w:p>
    <w:p>
      <w:r>
        <w:t>Les prescriptions que doit respecter l'employeur sont tout d'abord celles de la loi fédérale sur l'assurance-vieillesse et survivants et de ses dispositions d'exécution, notamment celles concernant l'obligation de déduire, à chaque paiement de salaire,</w:t>
      </w:r>
    </w:p>
    <w:p>
      <w:r>
        <w:t>A/2619/2010 - 9/12 -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w:t>
      </w:r>
    </w:p>
    <w:p>
      <w:r>
        <w:rPr>
          <w:b/>
        </w:rPr>
        <w:t>E. 10</w:t>
      </w:r>
    </w:p>
    <w:p>
      <w:r>
        <w:t>En l'espèce, le dommage consiste en la perte de la créance de cotisations subie par la caisse en raison de la faillite de la société, ce qui représente un montant de 192'768 fr. 20, non contesté par le recourant.</w:t>
      </w:r>
    </w:p>
    <w:p>
      <w:r>
        <w:rPr>
          <w:b/>
        </w:rPr>
        <w:t>E. 11</w:t>
      </w:r>
    </w:p>
    <w:p>
      <w:r>
        <w:t>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w:t>
      </w:r>
    </w:p>
    <w:p>
      <w:r>
        <w:t>A/2619/2010 - 10/12 -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w:t>
      </w:r>
    </w:p>
    <w:p>
      <w:r>
        <w:rPr>
          <w:b/>
        </w:rPr>
        <w:t>E. 12</w:t>
      </w:r>
    </w:p>
    <w:p>
      <w:r>
        <w:t>En l'espèce, il ressort de l'extrait du RC que le recourant était administrateur avec signature individuelle de la société depuis octobre 2005. Il est ainsi indéniable qu'il avait la qualité d'organe de la société faillie. Reste à examiner s’il s’est également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d'une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w:t>
      </w:r>
    </w:p>
    <w:p>
      <w:r>
        <w:t>A/2619/2010 - 11/12 -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 En réalité, la jurisprudence n’admet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w:t>
      </w:r>
    </w:p>
    <w:p>
      <w:r>
        <w:rPr>
          <w:b/>
        </w:rPr>
        <w:t>E. 13</w:t>
      </w:r>
    </w:p>
    <w:p>
      <w:r>
        <w:t>En l'espèce, ainsi que cela a été relevé plus haut, la société a accusé un retard dans le paiement des cotisations depuis son affiliation. Quelles que soient les origines des difficultés rencontrées par le principal client de la société, force est de constater qu’elles ne justifient pas que le fait que, des années durant, la société a délibérément reporté le paiement des cotisations. En l’espèce, on ne saurait admettre que le recourant avait des raisons sérieuses et objectives de penser que le retard dans le règlement des cotisations aux assurances sociales n'était que passager, au sens de la jurisprudence (a contrario, voir aussi ATF 121 V 243). Il n'était donc pas autorisé, aux conditions posées par la jurisprudence, à différer le paiement des cotisations retenues sur les salaires payés, sous peine de commettre une négligence grave sanctionnée par l'art. 52 LAVS (ATFA 277/01 du 29 août 2002 consid. 3) d'autant qu'alors qu'il laissait en souffrance les créances de la caisse de compensation, il s'acquittait d'autres dettes plus pressantes, faisant ainsi bénéficier son entreprise d'un financement illicite par les deniers publics (ATFA 134/02 du 30 janvier 2003 consid. 3.1; cf. ATF 108 V 196 consid. 4), ainsi qu’a d’ailleurs pu le constater le Tribunal de police. Eu égard aux considérations qui précèdent, le recourant ne saurait être exonéré de sa responsabilité d'organe envers la caisse de compensation.</w:t>
      </w:r>
    </w:p>
    <w:p>
      <w:r>
        <w:rPr>
          <w:b/>
        </w:rPr>
        <w:t>E. 14</w:t>
      </w:r>
    </w:p>
    <w:p>
      <w:r>
        <w:t>Eu égard aux considérations qui précèdent, le recours est rejeté.</w:t>
      </w:r>
    </w:p>
    <w:p>
      <w:r>
        <w:t>A/2619/2010 - 12/12 -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