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ATAS/1176/2010 vom 8. Februar 2010</w:t>
      </w:r>
    </w:p>
    <w:p>
      <w:r>
        <w:t>GE Cour de justice, 2010-02-08, FR</w:t>
      </w:r>
    </w:p>
    <w:p>
      <w:r>
        <w:rPr>
          <w:b/>
        </w:rPr>
        <w:t xml:space="preserve">Quelle: </w:t>
      </w:r>
      <w:r>
        <w:t>https://mcp.opencaselaw.ch/entscheid/ge_gerichte_ATAS_1176_2010</w:t>
      </w:r>
    </w:p>
    <w:p>
      <w:r>
        <w:t>FR: GE_GERICHTE ATAS/1176/2010 du 8 février 2010</w:t>
      </w:r>
    </w:p>
    <w:p>
      <w:r>
        <w:t>IT: GE_GERICHTE ATAS/1176/2010 del 8 febbraio 2010</w:t>
      </w:r>
    </w:p>
    <w:p>
      <w:pPr>
        <w:pStyle w:val="Heading2"/>
      </w:pPr>
      <w:r>
        <w:t>Erwägungen</w:t>
      </w:r>
    </w:p>
    <w:p>
      <w:r>
        <w:rPr>
          <w:b/>
        </w:rPr>
        <w:t>E. 1</w:t>
      </w:r>
    </w:p>
    <w:p>
      <w:r>
        <w:t>Conformément à l'art. 56V al. 1 let. a ch. 3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les prestations complémentaires à l’assurance-vieillesse, survivants et invalidité du 6 octobre 2006 (LPC ; RS 831.30) et à l’art. 43 de la loi sur les prestations cantonales</w:t>
      </w:r>
    </w:p>
    <w:p>
      <w:r>
        <w:t>A/1727/2010 - 6/10 - complémentaires à l’assurance-vieillesse et survivants et à l’assurance-invalidité, du 25 octobre 1968 (LPCC ; RS J 7 15 ; cf. art. 56V al. 2 let. a LOJ). Sa compétence pour juger du cas d’espèce est ainsi établie.</w:t>
      </w:r>
    </w:p>
    <w:p>
      <w:r>
        <w:rPr>
          <w:b/>
        </w:rPr>
        <w:t>E. 2</w:t>
      </w:r>
    </w:p>
    <w:p>
      <w:r>
        <w:t>En matière de prestations complémentaires fédérales, les décisions sur opposition sont sujettes à recours dans un délai de 30 jours (art. 56 al. 1er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1er LPGA). S’agissant des prestations complémentaires cantonales, l’art. 43 LPCC ouvre les mêmes voies de droit.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LPC n’y déroge expressément (art. 1er al. 1er LPC). Il en va de même en matière de prestations complémentaires cantonales (cf. art. 1A let. b LPCC).</w:t>
      </w:r>
    </w:p>
    <w:p>
      <w:r>
        <w:rPr>
          <w:b/>
        </w:rPr>
        <w:t>E. 4</w:t>
      </w:r>
    </w:p>
    <w:p>
      <w:r>
        <w:t>Le litige porte uniquement sur la question de savoir si c’est à juste titre que l’intimé a rejeté la demande de remise de l’obligation de restituer les sommes de 23'608 fr et 1'152 fr. versées à tort au recourant.</w:t>
      </w:r>
    </w:p>
    <w:p>
      <w:r>
        <w:rPr>
          <w:b/>
        </w:rPr>
        <w:t>E. 5</w:t>
      </w:r>
    </w:p>
    <w:p>
      <w:r>
        <w:t>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Il ressort de ces dispositions que la remise de l’obligation de restituer est soumise à deux conditions cumulatives : la bonne foi et la situation financière difficile.</w:t>
      </w:r>
    </w:p>
    <w:p>
      <w:r>
        <w:rPr>
          <w:b/>
        </w:rPr>
        <w:t>E. 6</w:t>
      </w:r>
    </w:p>
    <w:p>
      <w:r>
        <w:t>S’agissant de la première condition, il sied encore de préciser que l’ignorance, par le bénéficiaire, du fait qu’il n’avait pas droit aux prestations ne suffit pas pour</w:t>
      </w:r>
    </w:p>
    <w:p>
      <w:r>
        <w:t>A/1727/2010 - 7/10 -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 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Le devoir d’informer l’administration s’étend à tous les faits qui ont une importance pour le droit aux prestations.</w:t>
      </w:r>
    </w:p>
    <w:p>
      <w:r>
        <w:rPr>
          <w:b/>
        </w:rPr>
        <w:t>E. 7</w:t>
      </w:r>
    </w:p>
    <w:p>
      <w:r>
        <w:t>En l’espèce, l’intimé a nié la bonne foi du recourant, au motif qu’il n’avait pas été informé à temps du départ de la fille du recourant pour étudier au Kosovo. Le recourant soutient quant à lui qu’il était passé au guichet de l’intimé pour déposer des pièces et annoncer le départ de sa fille. C’est le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w:t>
      </w:r>
    </w:p>
    <w:p>
      <w:r>
        <w:t>A/1727/2010 - 8/10 -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8</w:t>
      </w:r>
    </w:p>
    <w:p>
      <w:r>
        <w:t>Il résulte des pièces produites par le recourant qu’il a déposé auprès de l’intimé copie de l’attestation d’établissement C de sa fille, ainsi qu’en témoigne le tampon apposé par ce dernier en date du 27 novembre 2007. Il est également établi qu’il a communiqué ces informations, de même que l’attestation de scolarité au Kosovo, auprès de diverses administrations. Cela étant, rien dans le dossier ne permet d’admettre qu’outre l’attestation d’établissement, il aurait aussi communiqué à l’intimé, avant le 15 janvier 2010, le départ de sa fille pour l’étranger, notamment en déposant l’attestation de scolarité. Bien qu’il ait informé de nombreux services du départ de sa fille - ce que les pièces produites attestent -, force est de constater que le dossier ne contient pas suffisamment d’éléments prouvant que l’information pertinente aurait été effectivement transmise à l’intimé en temps voulu. Si l’on peut comprendre la situation difficile vécue par la famille du recourant, il n’en demeure pas moins que l’intimé n’a pas été informé en temps utile. Enfin, il convient de relever que l’intimé a rendu, depuis l’automne 2007, pas moins de trois décisions desquelles il ressort clairement que la fille du recourant est toujours comprise dans le calcul des prestations complémentaires. Or, la réception desdites décisions aurait dû inciter le recourant à prendre à tout le moins contact avec l’intimé pour s’enquérir de la situation, dans la mesure où le départ d’un enfant constitue une modification de la situation familiale, événement susceptible d’avoir des incidences quant aux prestations et qui, partant, doit être annoncé. Au vu de ce qui précède, le Tribunal de céans ne peut que constater que la condition de la bonne foi fait en l’occurrence défaut. S’agissant de conditions</w:t>
      </w:r>
    </w:p>
    <w:p>
      <w:r>
        <w:t>A/1727/2010 - 9/10 - cumulatives, il est par conséquent superfétatoire d’examiner la question de la situation financière difficile.</w:t>
      </w:r>
    </w:p>
    <w:p>
      <w:r>
        <w:rPr>
          <w:b/>
        </w:rPr>
        <w:t>E. 9</w:t>
      </w:r>
    </w:p>
    <w:p>
      <w:r>
        <w:t>Mal fondé, le recours doit être rejeté.</w:t>
      </w:r>
    </w:p>
    <w:p>
      <w:r>
        <w:t>A/1727/2010 - 10/10 -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