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ATAS/1175/2017 vom 21. Dezember 2017</w:t>
      </w:r>
    </w:p>
    <w:p>
      <w:r>
        <w:t>GE Cour de justice, 2017-12-21, FR</w:t>
      </w:r>
    </w:p>
    <w:p>
      <w:r>
        <w:rPr>
          <w:b/>
        </w:rPr>
        <w:t xml:space="preserve">Quelle: </w:t>
      </w:r>
      <w:r>
        <w:t>https://mcp.opencaselaw.ch/entscheid/ge_gerichte_ATAS_1175_2017</w:t>
      </w:r>
    </w:p>
    <w:p>
      <w:r>
        <w:t>FR: GE_GERICHTE ATAS/1175/2017 du 21 décembre 2017</w:t>
      </w:r>
    </w:p>
    <w:p>
      <w:r>
        <w:t>IT: GE_GERICHTE ATAS/1175/2017 del 21 dicembre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nouvelle demande de prestations du recourant.</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t>A/1501/2017 - 7/10 -</w:t>
      </w:r>
    </w:p>
    <w:p>
      <w:r>
        <w:rPr>
          <w:b/>
        </w:rPr>
        <w:t>E. 6</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t>A/1501/2017 - 8/10 -</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10</w:t>
      </w:r>
    </w:p>
    <w:p>
      <w:r>
        <w:t>Il ressort de ce qui précède que la question qui se pose en l’occurrence est uniquement celle de savoir si le recourant, au moment de la décision litigieuse - soit le 6 mars 2017 - avait rendu plausible une aggravation de son état de santé survenue depuis le 25 mai 2016. Tel n’est pas le cas. Certes, le Dr H______ a évoqué un nouveau diagnostic, mais dont il a précisé qu’il était présent depuis l’enfance, sans jamais alléguer qu’une aggravation serait survenue depuis mai 2016. On relèvera par ailleurs qu’à plusieurs reprises, l’intimé a expliqué en détails à l’assuré les démarches qu’on attendait de lui, par courrier du 25 août 2016, puis dans son projet du 12 janvier 2017, sans aucun doute lors de l’entretien téléphonique du 19 janvier 2017, puis une fois encore par courrier du 20 février 2017. Dans ces circonstances, on ne saurait décemment prétendre que des délais raisonnables n’ont pas été accordés à l’intéressé. Quant aux pièces médicales produites après la décision litigieuse, soit après le 6 mars 2017, elles ne sauraient être prises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w:t>
      </w:r>
    </w:p>
    <w:p>
      <w:r>
        <w:t>A/1501/2017 - 9/10 -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C’est à l’assuré de rendre vraisemblable une péjoration de son état de santé (cf. ATF 130 V 64). A cet égard, il est rappelé qu’il était possible à l’assuré de se faire représenter - ce qu’il a d’ailleurs fait par la suite - s'il ne se sentait pas capable de faire valoir utilement ses droits pour des raisons de santé ou d'ignorance juridique (cf. arrêt 9C_660/2012 du 29 janvier 2013 consid. 3.3). Il demeure néanmoins loisible au recourant de saisir en tout temps l’administration d’une nouvelle demande de prestations, s’il estime que les conditions en sont remplies. Eu égard aux considérations qui précèdent, le recours est rejeté.</w:t>
      </w:r>
    </w:p>
    <w:p>
      <w:r>
        <w:t>A/1501/2017 - 10/10 -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