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ATAS/1175/2014 vom 17. November 2014</w:t>
      </w:r>
    </w:p>
    <w:p>
      <w:r>
        <w:t>GE Cour de justice, 2014-11-17, FR</w:t>
      </w:r>
    </w:p>
    <w:p>
      <w:r>
        <w:rPr>
          <w:b/>
        </w:rPr>
        <w:t xml:space="preserve">Quelle: </w:t>
      </w:r>
      <w:r>
        <w:t>https://mcp.opencaselaw.ch/entscheid/ge_gerichte_ATAS_1175_2014</w:t>
      </w:r>
    </w:p>
    <w:p>
      <w:r>
        <w:t>FR: GE_GERICHTE ATAS/1175/2014 du 17 novembre 2014</w:t>
      </w:r>
    </w:p>
    <w:p>
      <w:r>
        <w:t>IT: GE_GERICHTE ATAS/1175/2014 del 17 novembre 2014</w:t>
      </w:r>
    </w:p>
    <w:p>
      <w:pPr>
        <w:pStyle w:val="Heading2"/>
      </w:pPr>
      <w:r>
        <w:t>Erwägungen</w:t>
      </w:r>
    </w:p>
    <w:p>
      <w:r>
        <w:rPr>
          <w:b/>
        </w:rPr>
        <w:t>E. 12</w:t>
      </w:r>
    </w:p>
    <w:p>
      <w:r>
        <w:t>L'OAI a dès lors procédé à une enquête économique sur le ménage dont les calculs s'établissent comme suit :</w:t>
      </w:r>
    </w:p>
    <w:p>
      <w:r>
        <w:t>A/1397/2014 - 4/14 - Champ d'activités Exigibilité Pondération champ d'activité en % Empêchement en % Empêchement pondéré 5.1 conduite du ménage 2-5 %</w:t>
      </w:r>
    </w:p>
    <w:p>
      <w:r>
        <w:t>exigibilité</w:t>
      </w:r>
    </w:p>
    <w:p>
      <w:r>
        <w:t>0 % 3 %</w:t>
      </w:r>
    </w:p>
    <w:p>
      <w:r>
        <w:t>0 % 0 % 0 % 0 % 5.2 Alimentation 10-50 % Préparation/cuisson /service/nettoyage cuisine/provisions exigibilité</w:t>
      </w:r>
    </w:p>
    <w:p>
      <w:r>
        <w:t>0 % 35 %</w:t>
      </w:r>
    </w:p>
    <w:p>
      <w:r>
        <w:t>0 %</w:t>
      </w:r>
    </w:p>
    <w:p>
      <w:r>
        <w:t>0 % 0 %</w:t>
      </w:r>
    </w:p>
    <w:p>
      <w:r>
        <w:t>0 % 5.3 Entretien du logement 5-20 % épousseter/aspirateur/sols/vitres/lits exigibilité</w:t>
      </w:r>
    </w:p>
    <w:p>
      <w:r>
        <w:t>10 % 18 % 10 %</w:t>
      </w:r>
    </w:p>
    <w:p>
      <w:r>
        <w:t>0 % 1,8 %</w:t>
      </w:r>
    </w:p>
    <w:p>
      <w:r>
        <w:t>0 % 5.4 Emplettes et courses diverses 5-10% poste/assurances/services officiels exigibilité</w:t>
      </w:r>
    </w:p>
    <w:p>
      <w:r>
        <w:t>0 % 8 % 0 %</w:t>
      </w:r>
    </w:p>
    <w:p>
      <w:r>
        <w:t>0 % 0 %</w:t>
      </w:r>
    </w:p>
    <w:p>
      <w:r>
        <w:t>0 % 5.5 Lessive/entretien des vêtements 5- 20% laver/suspendre/ramasser/repasser…, exigibilité</w:t>
      </w:r>
    </w:p>
    <w:p>
      <w:r>
        <w:t>0 % 18 % 0 %</w:t>
      </w:r>
    </w:p>
    <w:p>
      <w:r>
        <w:t>0 % 0 %</w:t>
      </w:r>
    </w:p>
    <w:p>
      <w:r>
        <w:t>0 % 5.6 Soins aux enfants et aux autres membres de la famille 0-30% Exigibilité</w:t>
      </w:r>
    </w:p>
    <w:p>
      <w:r>
        <w:t>0 % 18 %</w:t>
      </w:r>
    </w:p>
    <w:p>
      <w:r>
        <w:rPr>
          <w:b/>
        </w:rPr>
        <w:t>E. 15</w:t>
      </w:r>
    </w:p>
    <w:p>
      <w:r>
        <w:t>Par courrier du 25 février 2013 (recte 2014) l'OAI a adressé à l'assurée un projet de décision aux termes duquel, au vu de ses constatations, son statut était celui d'une personne exerçant une activité professionnelle à 45,5 % et se consacrant à ses travaux habituels pour les 54,5 % restants. Dans la part professionnelle, depuis le 26 octobre 2011 sa capacité de travail dans son activité habituelle était considérablement restreinte sans interruption notable. Il ressortait en conséquence de l'examen de son dossier par le SMR que la capacité travail exigible la concernant était de 0 % dans l'activité habituelle de nettoyeuse, et de 50 % dans une activité adaptée respectant ses limitations fonctionnelles, ceci dès le 26 octobre 2011. Dans la part correspondant à ses travaux habituels, une enquête avait été effectuée au domicile de l'assurée le 16 décembre 2013, dont il résultait que l'empêchement dans la tenue du ménage était de 2,7 %. Il avait dès lors été procédé à une évaluation théorique de la perte de gain subie. La comparaison entre les revenus avec et sans invalidité s'établissait comme suit: sans invalidité (CHF 19’852.-, - montant établi sur la base du rapport de son employeur soit CHF 19'652.- annuels en 2012, indexé pour 2013), et avec invalidité (CHF 24’197.- - montant se basant sur l'Enquête Suisse sur la structure des Salaires (ESS) 2012, soit pour une femme, tous secteurs confondus, pour une activité simple et répétitive (niveau 4), pour une capacité de travail à 100 % soit CHF 53’771.- et pour une capacité de travail de 50 % CHF 26’885.-, retenant une réduction supplémentaire en raison de ses limitations fonctionnelles, soit CHF 24’197.-). Ceci déterminait une perte de gain égale à zéro.</w:t>
      </w:r>
    </w:p>
    <w:p>
      <w:r>
        <w:t>A/1397/2014 - 7/14 - L'activité lucrative partielle à un degré d'invalidité de 0 %, et la part de travaux habituels avec un empêchement retenu de 2,7 % déterminaient ainsi un degré d'invalidité de 1,47 % arrondi à 1,5 %. Un degré d'invalidité inférieur à 40 % ne donnant pas droit à une rente d'invalidité, la demande était donc rejetée. Un délai de trente jours lui était fixé pour faire valoir ses remarques ou demander toutes explications utiles.</w:t>
      </w:r>
    </w:p>
    <w:p>
      <w:r>
        <w:rPr>
          <w:b/>
        </w:rPr>
        <w:t>E. 16</w:t>
      </w:r>
    </w:p>
    <w:p>
      <w:r>
        <w:t>Par courrier du 18 mars 2014 l'assurée a indiqué ne pas comprendre comment le taux de 2,7 % d'empêchement de la tenue du ménage avait pu être établi, au vu des problèmes de santé qu'elle rencontre. Elle contestait donc ce taux, et sollicitait le détail de l'enquête du 16 décembre 2013.</w:t>
      </w:r>
    </w:p>
    <w:p>
      <w:r>
        <w:rPr>
          <w:b/>
        </w:rPr>
        <w:t>E. 17</w:t>
      </w:r>
    </w:p>
    <w:p>
      <w:r>
        <w:t>L'OAI a fait parvenir à l'intéressée la copie du document demandé, par courrier du 25 mars 2014. Un délai lui était imparti au 7 avril 2014 pour produire des éléments probants à l'appui de sa contestation du taux retenu.</w:t>
      </w:r>
    </w:p>
    <w:p>
      <w:r>
        <w:rPr>
          <w:b/>
        </w:rPr>
        <w:t>E. 18</w:t>
      </w:r>
    </w:p>
    <w:p>
      <w:r>
        <w:t>Puis, l'intéressée s'étant présentée à l'office le 28 mars 2014 pour solliciter la copie de l'intégralité du dossier par CD-ROM, l'OAI a donné suite à cette demande par courriers des 1er et 2 avril 2014 (envoi du CD et code d'accès, par courriers séparés).</w:t>
      </w:r>
    </w:p>
    <w:p>
      <w:r>
        <w:rPr>
          <w:b/>
        </w:rPr>
        <w:t>E. 19</w:t>
      </w:r>
    </w:p>
    <w:p>
      <w:r>
        <w:t>Par courrier du 8 avril 2014, l'OAI a notifié la décision de refus de rente d'invalidité et de mesures professionnelles, conforme au projet soumis préalablement à l'assurée.</w:t>
      </w:r>
    </w:p>
    <w:p>
      <w:r>
        <w:rPr>
          <w:b/>
        </w:rPr>
        <w:t>E. 20</w:t>
      </w:r>
    </w:p>
    <w:p>
      <w:r>
        <w:t>Par courrier recommandé du 15 mai 2014, l'Association pour la permanence de défense des patients et des assurés (APAS), agissant au nom et pour le compte de l'assurée, a interjeté recours contre cette décision, auprès de la chambre de céans. Elle conclut à l'annulation de la décision litigieuse, à ce que la recourante se voie reconnaître une incapacité de travail entière, le droit à un quart de rente et l'octroi de débours équitables. Dans les rapports médicaux successifs pris en compte par l'intimé pour aboutir à la décision entreprise, le nombre et la fréquence des crises d'épilepsie retenus par la Dresse C______ (trois crises par mois environ selon le premier rapport de 2013, passant à des crises à raison de deux à trois fois par an, selon le troisième rapport établi trois mois après le premier) étaient très largement inférieurs à la réalité, la recourante affirmant être désormais confrontée à deux à trois crises plus ou moins fortes par semaine. Dans ces conditions, la réinsertion professionnelle dans un domaine comme la vente ou dans un bureau, dans un environnement sans risque au niveau physique et sans stress, ne saurait être envisagée : dans la vente, en raison de la crainte de la recourante de faire des crises d'épilepsie en présence de la clientèle, risque d'autant plus fort en cas d'affluence de clients, situation génératrice de stress, d'une part, et du fait que l'on ne saurait raisonnablement imposer à un employeur d'avoir à gérer ce genre de situations régulièrement, soit plusieurs fois par mois au mieux ; s'agissant de cette activité, ou celle de bureau, la recourante comprend certes assez</w:t>
      </w:r>
    </w:p>
    <w:p>
      <w:r>
        <w:t>A/1397/2014 - 8/14 - bien le français, mais ne le parle qu'un tout petit peu, son cursus scolaire se limitant au demeurant à l'école obligatoire au Portugal ; un engagement dans une telle activité et dans ces conditions, même sur un marché équilibré de l'emploi, n'est donc pas raisonnablement plausible.</w:t>
      </w:r>
    </w:p>
    <w:p>
      <w:r>
        <w:rPr>
          <w:b/>
        </w:rPr>
        <w:t>E. 21</w:t>
      </w:r>
    </w:p>
    <w:p>
      <w:r>
        <w:t>Par courrier du 16 juin 2014, l'intimé a conclu au rejet du recours et à la confirmation de la décision entreprise. Il ressort des éléments médicaux du dossier, notamment du dernier rapport de la Dresse C______ médecin traitant de la recourante, que l'assurée a une capacité de travail de 50 % dans une activité strictement adaptée à ses limitations fonctionnelles. Elle oppose sa propre appréciation des faits relatifs à sa capacité de travail à celle des médecins, notamment de son neurologue, sans toutefois mettre en évidence d'importantes contradictions au niveau des diagnostics ou des observations cliniques. Les difficultés que la recourante pourrait rencontrer sur le marché du travail sont des facteurs étrangers à l'invalidité.</w:t>
      </w:r>
    </w:p>
    <w:p>
      <w:r>
        <w:rPr>
          <w:b/>
        </w:rPr>
        <w:t>E. 22</w:t>
      </w:r>
    </w:p>
    <w:p>
      <w:r>
        <w:t>Invitée à formuler d'éventuelles remarques au sujet de la détermination de l'intimé, la recourante a persisté dans ses conclusions.</w:t>
      </w:r>
    </w:p>
    <w:p>
      <w:r>
        <w:rPr>
          <w:b/>
        </w:rPr>
        <w:t>E. 23</w:t>
      </w:r>
    </w:p>
    <w:p>
      <w:r>
        <w:t>Sur quoi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w:t>
      </w:r>
    </w:p>
    <w:p>
      <w:r>
        <w:t>A/1397/2014 - 9/14 -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a) L'art. 69 al. 1 lettre a LAI prévoit qu'en dérogation aux articles 52 et 58 LPGA, les décisions des offices AI cantonaux peuvent directement faire l'objet d'un recours devant le tribunal des assurances du domicile de l'office concerné. b) En l'espèce l'OAI a adressé à l'assurée un projet de décision en date du 25 février 2014, confirmé par la décision du 8 avril 2014, contre laquelle l'assurée a directement recouru devant la chambre des assurances sociales de la Cour de justice. b) Le délai de recours est de 30 jours (art. 60 al. 1 LPGA). c) Interjeté dans la forme et le délai prévus par la loi, le recours est recevable, en vertu des art. 56ss LPGA. 5. Le litige porte sur le refus de prestations prononcé par l'OCAI, consécutif à la demande de prestations AI déposées par la recourante en date du 25 mai 2012, et plus particulièrement sur la question de savoir si l'office intimé a correctement évalué le taux d'invalidité retenu ne donnant en l'espèce aucun droit à une rente.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w:t>
      </w:r>
    </w:p>
    <w:p>
      <w:r>
        <w:t>A/1397/2014 - 10/14 -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9.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w:t>
      </w:r>
    </w:p>
    <w:p>
      <w:r>
        <w:t>A/1397/2014 - 11/14 -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A/1397/2014 - 12/14 -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la procédure suivie par l'OAI a scrupuleusement suivi les principes sus- énoncés, étape par étape, et l'enquête ménagère effectuée au domicile de la personne assurée répond en tous points aux exigences des directives en la matière et de la jurisprudence citée, de sorte qu'elle a pleine valeur probante.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w:t>
      </w:r>
    </w:p>
    <w:p>
      <w:r>
        <w:t>A/1397/2014 - 13/14 - n. 10 p. 28 consid. 4b), la jurisprudence rendue sous l’empire de l’art. 4 aCst. étant toujours valable (ATF 124 V 90 consid. 4b, 122 V 157 consid. 1d). 13. Dans le cas d'espèce, l'OAI a abouti à la décision entreprise en se fondant, en ce qui concerne les renseignements médicaux, sur ceux émanant du médecin traitant de l'assurée, médecin spécialiste du domaine concerné, et qui suit l'intéressée depuis plusieurs années, ayant pris la succession dans le traitement et le suivi de la patiente au sein des HUG dans l'unité où la patiente était déjà prise en charge depuis de nombreuses années. Les médecins du service régional ont eux-mêmes examiné avec attention les rapports médicaux qui leur ont été soumis. Ils ont confirmé sur la base des éléments médicaux du dossier notamment du dernier rapport de la Dresse C______, que l'assurée a une capacité de travail de 50 % dans une activité strictement adaptée à ses limitations fonctionnelles dès la date du constat de l'incapacité totale de travail dans l'activité à hauteur de 45,5% déployée jusqu'alors par l'assurée, soit dès le 26 octobre 2011, la Dresse C______ ayant encore précisé que bien que la situation soit stable depuis quelques années sur le plan de l'épilepsie, la décision de mise en arrêt de travail avait été prise le 26 octobre 2011, en raison d'une persistance de crises sous traitement antiépileptique bien conduit, avec risque de blessures au travail et mise en évidence d'un facteur favorisant du travail (en raison du stress et des horaires). La recourante consacre cependant l'essentiel de son argumentation dans la critique des trois derniers rapports médicaux de son médecin traitant qui, selon elle, aurait largement sous-évalué le nombre et la fréquence des crises d'épilepsie qu'elle subit. Elle ne fait en cela qu'opposer sa propre appréciation à celle de son médecin traitant qui la connaît bien. La recourante n'apporte toutefois aucun élément susceptible de susciter un doute au sujet de la valeur probante de l'évaluation médicale ; au contraire, elle nuance elle-même ses propres critiques en concédant que les crises qu'elle dit subir à une fréquence hebdomadaire sont d'intensité différenciée (plus ou moins fortes), ce qui renforce l'idée que l'appréciation médicale retenue est probante à tout le moins au degré de vraisemblance requis en matière de preuve dans le domaine des assurances sociales. Quoi qu'il en soit au demeurant, et si l'on devait suivre la recourante, même avec une marge d'erreur sur la fréquence de ces crises, le résultat final qui déterminait un degré d'invalidité de 1,47 % arrondi à 1,5 %, ne serait pas modifié au point d'atteindre le seuil des 40% donnant droit au quart de rente auquel elle prétend avoir droit. 14. Au vu de ce qui précède, le recours sera rejeté. Etant donné que depuis le 1er juillet 2006, la procédure n'est plus gratuite (art. 69 al. 1bis LAI), il y a lieu de condamner le recourant au paiement d'un émolument de CHF 200.-.</w:t>
      </w:r>
    </w:p>
    <w:p>
      <w:r>
        <w:t>A/1397/2014 - 14/14 -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